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4539" w14:textId="77777777" w:rsidR="0030077A" w:rsidRDefault="0030077A">
      <w:pPr>
        <w:rPr>
          <w:rFonts w:ascii="Fira Sans Medium" w:eastAsia="Fira Sans Medium" w:hAnsi="Fira Sans Medium" w:cs="Fira Sans Medium"/>
          <w:color w:val="200F40"/>
        </w:rPr>
      </w:pPr>
    </w:p>
    <w:p w14:paraId="27FC7912" w14:textId="09405BC7" w:rsidR="0030077A" w:rsidRDefault="005F791D">
      <w:pPr>
        <w:rPr>
          <w:rFonts w:ascii="Fira Sans Medium" w:eastAsia="Fira Sans Medium" w:hAnsi="Fira Sans Medium" w:cs="Fira Sans Medium"/>
          <w:color w:val="200F40"/>
          <w:sz w:val="24"/>
          <w:szCs w:val="24"/>
        </w:rPr>
      </w:pPr>
      <w:r>
        <w:rPr>
          <w:rFonts w:ascii="Fira Sans Medium" w:hAnsi="Fira Sans Medium"/>
          <w:color w:val="200F40"/>
          <w:sz w:val="24"/>
        </w:rPr>
        <w:t>Nota</w:t>
      </w:r>
      <w:r w:rsidR="00AE2834">
        <w:rPr>
          <w:rFonts w:ascii="Fira Sans Medium" w:hAnsi="Fira Sans Medium"/>
          <w:color w:val="200F40"/>
          <w:sz w:val="24"/>
        </w:rPr>
        <w:t xml:space="preserve"> de prensa</w:t>
      </w:r>
    </w:p>
    <w:p w14:paraId="1BBD6775" w14:textId="77777777" w:rsidR="0030077A" w:rsidRDefault="00AE2834" w:rsidP="009B3882">
      <w:pPr>
        <w:jc w:val="right"/>
        <w:rPr>
          <w:rFonts w:ascii="Fira Sans" w:eastAsia="Fira Sans" w:hAnsi="Fira Sans" w:cs="Fira Sans"/>
          <w:color w:val="943B91"/>
        </w:rPr>
      </w:pPr>
      <w:r>
        <w:rPr>
          <w:rFonts w:ascii="Fira Sans" w:hAnsi="Fira Sans"/>
          <w:color w:val="943B91"/>
        </w:rPr>
        <w:t>27 de junio de 2023</w:t>
      </w:r>
    </w:p>
    <w:p w14:paraId="4C36A4A8" w14:textId="77777777" w:rsidR="0030077A" w:rsidRDefault="0030077A">
      <w:pPr>
        <w:jc w:val="center"/>
        <w:rPr>
          <w:rFonts w:ascii="Fira Sans" w:eastAsia="Fira Sans" w:hAnsi="Fira Sans" w:cs="Fira Sans"/>
          <w:b/>
        </w:rPr>
      </w:pPr>
    </w:p>
    <w:p w14:paraId="6757A0DD" w14:textId="77777777" w:rsidR="0030077A" w:rsidRDefault="0030077A">
      <w:pPr>
        <w:jc w:val="center"/>
        <w:rPr>
          <w:rFonts w:ascii="Fira Sans" w:eastAsia="Fira Sans" w:hAnsi="Fira Sans" w:cs="Fira Sans"/>
          <w:b/>
        </w:rPr>
      </w:pPr>
    </w:p>
    <w:tbl>
      <w:tblPr>
        <w:tblStyle w:val="a"/>
        <w:tblW w:w="9105" w:type="dxa"/>
        <w:tblInd w:w="-57" w:type="dxa"/>
        <w:tblLayout w:type="fixed"/>
        <w:tblLook w:val="0000" w:firstRow="0" w:lastRow="0" w:firstColumn="0" w:lastColumn="0" w:noHBand="0" w:noVBand="0"/>
      </w:tblPr>
      <w:tblGrid>
        <w:gridCol w:w="9105"/>
      </w:tblGrid>
      <w:tr w:rsidR="0030077A" w14:paraId="58FF18F7" w14:textId="77777777">
        <w:trPr>
          <w:trHeight w:val="1050"/>
        </w:trPr>
        <w:tc>
          <w:tcPr>
            <w:tcW w:w="9105" w:type="dxa"/>
            <w:tcBorders>
              <w:top w:val="nil"/>
              <w:left w:val="nil"/>
              <w:bottom w:val="nil"/>
              <w:right w:val="nil"/>
            </w:tcBorders>
            <w:shd w:val="clear" w:color="auto" w:fill="F2E9E2"/>
          </w:tcPr>
          <w:p w14:paraId="27C32457" w14:textId="77777777" w:rsidR="0030077A" w:rsidRDefault="0030077A">
            <w:pPr>
              <w:rPr>
                <w:rFonts w:ascii="Fira Sans Medium" w:eastAsia="Fira Sans Medium" w:hAnsi="Fira Sans Medium" w:cs="Fira Sans Medium"/>
                <w:color w:val="943B91"/>
                <w:sz w:val="32"/>
                <w:szCs w:val="32"/>
              </w:rPr>
            </w:pPr>
          </w:p>
          <w:p w14:paraId="0455E038" w14:textId="77777777" w:rsidR="0030077A" w:rsidRDefault="00AE2834">
            <w:pPr>
              <w:jc w:val="center"/>
              <w:rPr>
                <w:rFonts w:ascii="Fira Sans Medium" w:eastAsia="Fira Sans Medium" w:hAnsi="Fira Sans Medium" w:cs="Fira Sans Medium"/>
                <w:color w:val="943B91"/>
                <w:sz w:val="24"/>
                <w:szCs w:val="24"/>
              </w:rPr>
            </w:pPr>
            <w:r>
              <w:rPr>
                <w:rFonts w:ascii="Fira Sans Medium" w:hAnsi="Fira Sans Medium"/>
                <w:color w:val="943B91"/>
                <w:sz w:val="24"/>
              </w:rPr>
              <w:t>Primera edición del Observatorio Internacional de las Microbiotas</w:t>
            </w:r>
          </w:p>
          <w:p w14:paraId="03CCC548" w14:textId="77777777" w:rsidR="0030077A" w:rsidRDefault="0030077A">
            <w:pPr>
              <w:jc w:val="center"/>
              <w:rPr>
                <w:rFonts w:ascii="Fira Sans" w:eastAsia="Fira Sans" w:hAnsi="Fira Sans" w:cs="Fira Sans"/>
                <w:b/>
                <w:sz w:val="16"/>
                <w:szCs w:val="16"/>
              </w:rPr>
            </w:pPr>
          </w:p>
          <w:p w14:paraId="2A3B4231" w14:textId="53F73F19" w:rsidR="00AE2834" w:rsidRDefault="00AE2834">
            <w:pPr>
              <w:jc w:val="center"/>
              <w:rPr>
                <w:rFonts w:ascii="Fira Sans SemiBold" w:eastAsia="Fira Sans SemiBold" w:hAnsi="Fira Sans SemiBold" w:cs="Fira Sans SemiBold"/>
                <w:color w:val="200F40"/>
                <w:sz w:val="26"/>
                <w:szCs w:val="26"/>
              </w:rPr>
            </w:pPr>
            <w:r>
              <w:rPr>
                <w:rFonts w:ascii="Fira Sans SemiBold" w:hAnsi="Fira Sans SemiBold"/>
                <w:color w:val="200F40"/>
                <w:sz w:val="26"/>
              </w:rPr>
              <w:t>Las microbiotas</w:t>
            </w:r>
            <w:r w:rsidR="009B3882">
              <w:rPr>
                <w:rFonts w:ascii="Fira Sans SemiBold" w:hAnsi="Fira Sans SemiBold"/>
                <w:color w:val="200F40"/>
                <w:sz w:val="26"/>
              </w:rPr>
              <w:t xml:space="preserve"> son </w:t>
            </w:r>
            <w:r>
              <w:rPr>
                <w:rFonts w:ascii="Fira Sans SemiBold" w:hAnsi="Fira Sans SemiBold"/>
                <w:color w:val="200F40"/>
                <w:sz w:val="26"/>
              </w:rPr>
              <w:t xml:space="preserve">esenciales para la salud, </w:t>
            </w:r>
            <w:r w:rsidR="009B3882">
              <w:rPr>
                <w:rFonts w:ascii="Fira Sans SemiBold" w:hAnsi="Fira Sans SemiBold"/>
                <w:color w:val="200F40"/>
                <w:sz w:val="26"/>
              </w:rPr>
              <w:br/>
            </w:r>
            <w:r>
              <w:rPr>
                <w:rFonts w:ascii="Fira Sans SemiBold" w:hAnsi="Fira Sans SemiBold"/>
                <w:color w:val="200F40"/>
                <w:sz w:val="26"/>
              </w:rPr>
              <w:t>pero</w:t>
            </w:r>
            <w:r w:rsidR="009B3882">
              <w:rPr>
                <w:rFonts w:ascii="Fira Sans SemiBold" w:hAnsi="Fira Sans SemiBold"/>
                <w:color w:val="200F40"/>
                <w:sz w:val="26"/>
              </w:rPr>
              <w:t xml:space="preserve"> son </w:t>
            </w:r>
            <w:r>
              <w:rPr>
                <w:rFonts w:ascii="Fira Sans SemiBold" w:hAnsi="Fira Sans SemiBold"/>
                <w:color w:val="200F40"/>
                <w:sz w:val="26"/>
              </w:rPr>
              <w:t xml:space="preserve">poco conocidas en el mundo. </w:t>
            </w:r>
          </w:p>
          <w:p w14:paraId="11904441" w14:textId="5EBD03C6" w:rsidR="0030077A" w:rsidRPr="00674381" w:rsidRDefault="00674381">
            <w:pPr>
              <w:jc w:val="center"/>
              <w:rPr>
                <w:rFonts w:ascii="Fira Sans SemiBold" w:eastAsia="Fira Sans SemiBold" w:hAnsi="Fira Sans SemiBold" w:cs="Fira Sans SemiBold"/>
                <w:color w:val="200F40"/>
                <w:sz w:val="26"/>
                <w:szCs w:val="26"/>
              </w:rPr>
            </w:pPr>
            <w:r w:rsidRPr="00674381">
              <w:rPr>
                <w:rFonts w:ascii="Fira Sans SemiBold" w:hAnsi="Fira Sans SemiBold"/>
                <w:color w:val="200F40"/>
                <w:sz w:val="26"/>
              </w:rPr>
              <w:t xml:space="preserve">Los españoles tienen </w:t>
            </w:r>
            <w:r w:rsidR="00695D36">
              <w:rPr>
                <w:rFonts w:ascii="Fira Sans SemiBold" w:hAnsi="Fira Sans SemiBold"/>
                <w:color w:val="200F40"/>
                <w:sz w:val="26"/>
              </w:rPr>
              <w:t xml:space="preserve">escasos </w:t>
            </w:r>
            <w:r w:rsidRPr="00674381">
              <w:rPr>
                <w:rFonts w:ascii="Fira Sans SemiBold" w:hAnsi="Fira Sans SemiBold"/>
                <w:color w:val="200F40"/>
                <w:sz w:val="26"/>
              </w:rPr>
              <w:t>conocimientos sobre las microbiotas y</w:t>
            </w:r>
            <w:r>
              <w:rPr>
                <w:rFonts w:ascii="Fira Sans SemiBold" w:hAnsi="Fira Sans SemiBold"/>
                <w:color w:val="200F40"/>
                <w:sz w:val="26"/>
              </w:rPr>
              <w:t> </w:t>
            </w:r>
            <w:r w:rsidRPr="00674381">
              <w:rPr>
                <w:rFonts w:ascii="Fira Sans SemiBold" w:hAnsi="Fira Sans SemiBold"/>
                <w:color w:val="200F40"/>
                <w:sz w:val="26"/>
              </w:rPr>
              <w:t>sobre</w:t>
            </w:r>
            <w:r w:rsidR="00695D36">
              <w:rPr>
                <w:rFonts w:ascii="Fira Sans SemiBold" w:hAnsi="Fira Sans SemiBold"/>
                <w:color w:val="200F40"/>
                <w:sz w:val="26"/>
              </w:rPr>
              <w:t> </w:t>
            </w:r>
            <w:r w:rsidRPr="00674381">
              <w:rPr>
                <w:rFonts w:ascii="Fira Sans SemiBold" w:hAnsi="Fira Sans SemiBold"/>
                <w:color w:val="200F40"/>
                <w:sz w:val="26"/>
              </w:rPr>
              <w:t>los comportamientos que deben adoptar para preservarlas lo</w:t>
            </w:r>
            <w:r>
              <w:rPr>
                <w:rFonts w:ascii="Fira Sans SemiBold" w:hAnsi="Fira Sans SemiBold"/>
                <w:color w:val="200F40"/>
                <w:sz w:val="26"/>
              </w:rPr>
              <w:t> </w:t>
            </w:r>
            <w:r w:rsidRPr="00674381">
              <w:rPr>
                <w:rFonts w:ascii="Fira Sans SemiBold" w:hAnsi="Fira Sans SemiBold"/>
                <w:color w:val="200F40"/>
                <w:sz w:val="26"/>
              </w:rPr>
              <w:t>mejor posible.</w:t>
            </w:r>
          </w:p>
          <w:p w14:paraId="66972670" w14:textId="77777777" w:rsidR="0030077A" w:rsidRDefault="0030077A">
            <w:pPr>
              <w:jc w:val="center"/>
              <w:rPr>
                <w:rFonts w:ascii="Fira Sans" w:eastAsia="Fira Sans" w:hAnsi="Fira Sans" w:cs="Fira Sans"/>
                <w:b/>
                <w:sz w:val="32"/>
                <w:szCs w:val="32"/>
              </w:rPr>
            </w:pPr>
          </w:p>
          <w:p w14:paraId="4FAA72B3" w14:textId="77777777" w:rsidR="0030077A" w:rsidRDefault="00AE2834">
            <w:pPr>
              <w:jc w:val="center"/>
              <w:rPr>
                <w:rFonts w:ascii="Fira Sans" w:eastAsia="Fira Sans" w:hAnsi="Fira Sans" w:cs="Fira Sans"/>
                <w:b/>
                <w:color w:val="200F40"/>
                <w:sz w:val="32"/>
                <w:szCs w:val="32"/>
              </w:rPr>
            </w:pPr>
            <w:proofErr w:type="gramStart"/>
            <w:r>
              <w:rPr>
                <w:rFonts w:ascii="Fira Sans" w:hAnsi="Fira Sans"/>
                <w:b/>
                <w:color w:val="200F40"/>
                <w:sz w:val="28"/>
                <w:shd w:val="clear" w:color="auto" w:fill="200F40"/>
              </w:rPr>
              <w:t>.</w:t>
            </w:r>
            <w:r>
              <w:rPr>
                <w:rFonts w:ascii="Fira Sans" w:hAnsi="Fira Sans"/>
                <w:b/>
                <w:color w:val="FFFFFF"/>
                <w:sz w:val="28"/>
                <w:shd w:val="clear" w:color="auto" w:fill="200F40"/>
              </w:rPr>
              <w:t>Encuesta</w:t>
            </w:r>
            <w:proofErr w:type="gramEnd"/>
            <w:r>
              <w:rPr>
                <w:rFonts w:ascii="Fira Sans" w:hAnsi="Fira Sans"/>
                <w:b/>
                <w:color w:val="FFFFFF"/>
                <w:sz w:val="28"/>
                <w:shd w:val="clear" w:color="auto" w:fill="200F40"/>
              </w:rPr>
              <w:t xml:space="preserve"> bajo embargo hasta el 27 de junio, 05.00 h de la mañana</w:t>
            </w:r>
            <w:r>
              <w:rPr>
                <w:rFonts w:ascii="Fira Sans" w:hAnsi="Fira Sans"/>
                <w:b/>
                <w:color w:val="200F40"/>
                <w:sz w:val="28"/>
                <w:shd w:val="clear" w:color="auto" w:fill="200F40"/>
              </w:rPr>
              <w:t>.</w:t>
            </w:r>
            <w:r>
              <w:rPr>
                <w:rFonts w:ascii="Fira Sans" w:hAnsi="Fira Sans"/>
                <w:b/>
                <w:color w:val="200F40"/>
                <w:sz w:val="28"/>
                <w:highlight w:val="green"/>
              </w:rPr>
              <w:br/>
            </w:r>
          </w:p>
        </w:tc>
      </w:tr>
    </w:tbl>
    <w:p w14:paraId="4D6D90B3" w14:textId="77777777" w:rsidR="0030077A" w:rsidRDefault="0030077A">
      <w:pPr>
        <w:jc w:val="both"/>
        <w:rPr>
          <w:rFonts w:ascii="Fira Sans" w:eastAsia="Fira Sans" w:hAnsi="Fira Sans" w:cs="Fira Sans"/>
          <w:i/>
          <w:sz w:val="20"/>
          <w:szCs w:val="20"/>
        </w:rPr>
      </w:pPr>
    </w:p>
    <w:p w14:paraId="7F54FC1D" w14:textId="77777777" w:rsidR="0030077A" w:rsidRDefault="0030077A">
      <w:pPr>
        <w:jc w:val="both"/>
        <w:rPr>
          <w:rFonts w:ascii="Fira Sans" w:eastAsia="Fira Sans" w:hAnsi="Fira Sans" w:cs="Fira Sans"/>
          <w:i/>
          <w:sz w:val="20"/>
          <w:szCs w:val="20"/>
        </w:rPr>
      </w:pPr>
    </w:p>
    <w:p w14:paraId="7A58E39C" w14:textId="12B96790" w:rsidR="0030077A" w:rsidRDefault="00AE2834">
      <w:pPr>
        <w:spacing w:after="120"/>
        <w:ind w:firstLine="720"/>
        <w:jc w:val="both"/>
        <w:rPr>
          <w:rFonts w:ascii="Fira Sans" w:eastAsia="Fira Sans" w:hAnsi="Fira Sans" w:cs="Fira Sans"/>
          <w:i/>
          <w:color w:val="200F40"/>
        </w:rPr>
      </w:pPr>
      <w:r>
        <w:rPr>
          <w:rFonts w:ascii="Fira Sans" w:hAnsi="Fira Sans"/>
          <w:i/>
          <w:color w:val="200F40"/>
        </w:rPr>
        <w:t xml:space="preserve">La microbiota está formada por miles de millones de microorganismos (bacterias, virus, hongos…) que viven en simbiosis </w:t>
      </w:r>
      <w:r w:rsidR="009B3882">
        <w:rPr>
          <w:rFonts w:ascii="Fira Sans" w:hAnsi="Fira Sans"/>
          <w:i/>
          <w:color w:val="200F40"/>
        </w:rPr>
        <w:t xml:space="preserve">con </w:t>
      </w:r>
      <w:r>
        <w:rPr>
          <w:rFonts w:ascii="Fira Sans" w:hAnsi="Fira Sans"/>
          <w:i/>
          <w:color w:val="200F40"/>
        </w:rPr>
        <w:t xml:space="preserve">nuestro cuerpo. Tenemos una microbiota intestinal, pero también una microbiota </w:t>
      </w:r>
      <w:r w:rsidR="009B3882">
        <w:rPr>
          <w:rFonts w:ascii="Fira Sans" w:hAnsi="Fira Sans"/>
          <w:i/>
          <w:color w:val="200F40"/>
        </w:rPr>
        <w:t>cutánea</w:t>
      </w:r>
      <w:r>
        <w:rPr>
          <w:rFonts w:ascii="Fira Sans" w:hAnsi="Fira Sans"/>
          <w:i/>
          <w:color w:val="200F40"/>
        </w:rPr>
        <w:t xml:space="preserve">, una microbiota </w:t>
      </w:r>
      <w:r w:rsidR="009B3882">
        <w:rPr>
          <w:rFonts w:ascii="Fira Sans" w:hAnsi="Fira Sans"/>
          <w:i/>
          <w:color w:val="200F40"/>
        </w:rPr>
        <w:t>oral</w:t>
      </w:r>
      <w:r>
        <w:rPr>
          <w:rFonts w:ascii="Fira Sans" w:hAnsi="Fira Sans"/>
          <w:i/>
          <w:color w:val="200F40"/>
        </w:rPr>
        <w:t xml:space="preserve">, </w:t>
      </w:r>
      <w:r w:rsidR="009B3882">
        <w:rPr>
          <w:rFonts w:ascii="Fira Sans" w:hAnsi="Fira Sans"/>
          <w:i/>
          <w:color w:val="200F40"/>
        </w:rPr>
        <w:t>una microbiota pulmonar</w:t>
      </w:r>
      <w:r>
        <w:rPr>
          <w:rFonts w:ascii="Fira Sans" w:hAnsi="Fira Sans"/>
          <w:i/>
          <w:color w:val="200F40"/>
        </w:rPr>
        <w:t xml:space="preserve">, una microbiota urinaria, </w:t>
      </w:r>
      <w:r w:rsidR="009B3882">
        <w:rPr>
          <w:rFonts w:ascii="Fira Sans" w:hAnsi="Fira Sans"/>
          <w:i/>
          <w:color w:val="200F40"/>
        </w:rPr>
        <w:t xml:space="preserve">una microbiota </w:t>
      </w:r>
      <w:r>
        <w:rPr>
          <w:rFonts w:ascii="Fira Sans" w:hAnsi="Fira Sans"/>
          <w:i/>
          <w:color w:val="200F40"/>
        </w:rPr>
        <w:t xml:space="preserve">vaginal… Estas microbiotas desempeñan un papel esencial para la salud. Pero ¿qué saben hoy nuestros conciudadanos sobre el papel de la microbiota? ¿Qué conocen sobre los comportamientos que deben adoptarse para cuidar de la microbiota? ¿Padecen hoy problemas de salud que asocian a su microbiota? ¿Qué papel desempeña en la actualidad el profesional </w:t>
      </w:r>
      <w:r w:rsidR="004266B2">
        <w:rPr>
          <w:rFonts w:ascii="Fira Sans" w:hAnsi="Fira Sans"/>
          <w:i/>
          <w:color w:val="200F40"/>
        </w:rPr>
        <w:t xml:space="preserve">sanitario </w:t>
      </w:r>
      <w:r>
        <w:rPr>
          <w:rFonts w:ascii="Fira Sans" w:hAnsi="Fira Sans"/>
          <w:i/>
          <w:color w:val="200F40"/>
        </w:rPr>
        <w:t>en la información de los pacientes sobre los comportamientos capaces de preservar el equilibrio de sus microbiotas? Para responder a estas preguntas</w:t>
      </w:r>
      <w:r w:rsidR="009B3882">
        <w:rPr>
          <w:rFonts w:ascii="Fira Sans" w:hAnsi="Fira Sans"/>
          <w:i/>
          <w:color w:val="200F40"/>
        </w:rPr>
        <w:t>, el</w:t>
      </w:r>
      <w:r>
        <w:rPr>
          <w:rFonts w:ascii="Fira Sans" w:hAnsi="Fira Sans"/>
          <w:i/>
          <w:color w:val="200F40"/>
        </w:rPr>
        <w:t xml:space="preserve"> </w:t>
      </w:r>
      <w:r>
        <w:rPr>
          <w:rFonts w:ascii="Fira Sans" w:hAnsi="Fira Sans"/>
          <w:b/>
          <w:bCs/>
          <w:i/>
          <w:color w:val="200F40"/>
        </w:rPr>
        <w:t xml:space="preserve">Biocodex Microbiota Institute </w:t>
      </w:r>
      <w:r w:rsidR="009B3882">
        <w:rPr>
          <w:rFonts w:ascii="Fira Sans" w:hAnsi="Fira Sans"/>
          <w:b/>
          <w:bCs/>
          <w:i/>
          <w:color w:val="200F40"/>
        </w:rPr>
        <w:t xml:space="preserve">encomendó </w:t>
      </w:r>
      <w:r>
        <w:rPr>
          <w:rFonts w:ascii="Fira Sans" w:hAnsi="Fira Sans"/>
          <w:b/>
          <w:bCs/>
          <w:i/>
          <w:color w:val="200F40"/>
        </w:rPr>
        <w:t>a Ipsos la realización de una gran encuesta internacional con 6500 personas en 7 países</w:t>
      </w:r>
      <w:r>
        <w:rPr>
          <w:rFonts w:ascii="Fira Sans" w:hAnsi="Fira Sans"/>
          <w:i/>
          <w:color w:val="200F40"/>
        </w:rPr>
        <w:t xml:space="preserve"> (Francia, España, Portugal, Estados Unidos, Brasil, México y China): el Observatorio Internacional de las Microbiotas. </w:t>
      </w:r>
      <w:r>
        <w:rPr>
          <w:rFonts w:ascii="Fira Sans" w:hAnsi="Fira Sans"/>
          <w:b/>
          <w:i/>
          <w:color w:val="943B91"/>
        </w:rPr>
        <w:t xml:space="preserve">Más allá de las disparidades geográficas sobre los comportamientos, esta encuesta exclusiva </w:t>
      </w:r>
      <w:r w:rsidR="009B3882">
        <w:rPr>
          <w:rFonts w:ascii="Fira Sans" w:hAnsi="Fira Sans"/>
          <w:b/>
          <w:i/>
          <w:color w:val="943B91"/>
        </w:rPr>
        <w:t xml:space="preserve">revela </w:t>
      </w:r>
      <w:r>
        <w:rPr>
          <w:rFonts w:ascii="Fira Sans" w:hAnsi="Fira Sans"/>
          <w:b/>
          <w:i/>
          <w:color w:val="943B91"/>
        </w:rPr>
        <w:t xml:space="preserve">un desconocimiento global del papel de las microbiotas en la salud y señala </w:t>
      </w:r>
      <w:r w:rsidR="009B3882">
        <w:rPr>
          <w:rFonts w:ascii="Fira Sans" w:hAnsi="Fira Sans"/>
          <w:b/>
          <w:i/>
          <w:color w:val="943B91"/>
        </w:rPr>
        <w:t xml:space="preserve">la función </w:t>
      </w:r>
      <w:r>
        <w:rPr>
          <w:rFonts w:ascii="Fira Sans" w:hAnsi="Fira Sans"/>
          <w:b/>
          <w:i/>
          <w:color w:val="943B91"/>
        </w:rPr>
        <w:t xml:space="preserve">esencial del profesional </w:t>
      </w:r>
      <w:r w:rsidR="009B3882">
        <w:rPr>
          <w:rFonts w:ascii="Fira Sans" w:hAnsi="Fira Sans"/>
          <w:b/>
          <w:i/>
          <w:color w:val="943B91"/>
        </w:rPr>
        <w:t xml:space="preserve">sanitario </w:t>
      </w:r>
      <w:r>
        <w:rPr>
          <w:rFonts w:ascii="Fira Sans" w:hAnsi="Fira Sans"/>
          <w:b/>
          <w:i/>
          <w:color w:val="943B91"/>
        </w:rPr>
        <w:t xml:space="preserve">en </w:t>
      </w:r>
      <w:r w:rsidR="009B3882">
        <w:rPr>
          <w:rFonts w:ascii="Fira Sans" w:hAnsi="Fira Sans"/>
          <w:b/>
          <w:i/>
          <w:color w:val="943B91"/>
        </w:rPr>
        <w:t xml:space="preserve">la </w:t>
      </w:r>
      <w:r>
        <w:rPr>
          <w:rFonts w:ascii="Fira Sans" w:hAnsi="Fira Sans"/>
          <w:b/>
          <w:i/>
          <w:color w:val="943B91"/>
        </w:rPr>
        <w:t>comprensión</w:t>
      </w:r>
      <w:r w:rsidR="009B3882">
        <w:rPr>
          <w:rFonts w:ascii="Fira Sans" w:hAnsi="Fira Sans"/>
          <w:b/>
          <w:i/>
          <w:color w:val="943B91"/>
        </w:rPr>
        <w:t xml:space="preserve"> de las mismas</w:t>
      </w:r>
      <w:r>
        <w:rPr>
          <w:rFonts w:ascii="Fira Sans" w:hAnsi="Fira Sans"/>
          <w:b/>
          <w:i/>
          <w:color w:val="943B91"/>
        </w:rPr>
        <w:t xml:space="preserve">. </w:t>
      </w:r>
      <w:r>
        <w:rPr>
          <w:rFonts w:ascii="Fira Sans" w:hAnsi="Fira Sans"/>
          <w:i/>
          <w:color w:val="200F40"/>
        </w:rPr>
        <w:t>Los resultados se presentaron el 27 de junio de 2023, con motivo del Día Mundial de</w:t>
      </w:r>
      <w:r w:rsidR="009B3882">
        <w:rPr>
          <w:rFonts w:ascii="Fira Sans" w:hAnsi="Fira Sans"/>
          <w:i/>
          <w:color w:val="200F40"/>
        </w:rPr>
        <w:t xml:space="preserve"> </w:t>
      </w:r>
      <w:r>
        <w:rPr>
          <w:rFonts w:ascii="Fira Sans" w:hAnsi="Fira Sans"/>
          <w:i/>
          <w:color w:val="200F40"/>
        </w:rPr>
        <w:t>l</w:t>
      </w:r>
      <w:r w:rsidR="009B3882">
        <w:rPr>
          <w:rFonts w:ascii="Fira Sans" w:hAnsi="Fira Sans"/>
          <w:i/>
          <w:color w:val="200F40"/>
        </w:rPr>
        <w:t>a</w:t>
      </w:r>
      <w:r>
        <w:rPr>
          <w:rFonts w:ascii="Fira Sans" w:hAnsi="Fira Sans"/>
          <w:i/>
          <w:color w:val="200F40"/>
        </w:rPr>
        <w:t xml:space="preserve"> Microbio</w:t>
      </w:r>
      <w:r w:rsidR="009B3882">
        <w:rPr>
          <w:rFonts w:ascii="Fira Sans" w:hAnsi="Fira Sans"/>
          <w:i/>
          <w:color w:val="200F40"/>
        </w:rPr>
        <w:t>t</w:t>
      </w:r>
      <w:r>
        <w:rPr>
          <w:rFonts w:ascii="Fira Sans" w:hAnsi="Fira Sans"/>
          <w:i/>
          <w:color w:val="200F40"/>
        </w:rPr>
        <w:t>a.</w:t>
      </w:r>
    </w:p>
    <w:p w14:paraId="78B5C412" w14:textId="77777777" w:rsidR="00AE2834" w:rsidRDefault="00AE2834">
      <w:pPr>
        <w:pBdr>
          <w:top w:val="nil"/>
          <w:left w:val="nil"/>
          <w:bottom w:val="nil"/>
          <w:right w:val="nil"/>
          <w:between w:val="nil"/>
        </w:pBdr>
        <w:spacing w:line="240" w:lineRule="auto"/>
        <w:jc w:val="both"/>
        <w:rPr>
          <w:rFonts w:ascii="Fira Sans" w:eastAsia="Fira Sans" w:hAnsi="Fira Sans" w:cs="Fira Sans"/>
          <w:color w:val="943B91"/>
          <w:sz w:val="24"/>
          <w:szCs w:val="24"/>
        </w:rPr>
      </w:pPr>
    </w:p>
    <w:p w14:paraId="78E4B67E" w14:textId="77777777" w:rsidR="00AE2834" w:rsidRDefault="00AE2834">
      <w:pPr>
        <w:pBdr>
          <w:top w:val="nil"/>
          <w:left w:val="nil"/>
          <w:bottom w:val="nil"/>
          <w:right w:val="nil"/>
          <w:between w:val="nil"/>
        </w:pBdr>
        <w:spacing w:line="240" w:lineRule="auto"/>
        <w:jc w:val="both"/>
        <w:rPr>
          <w:rFonts w:ascii="Fira Sans" w:eastAsia="Fira Sans" w:hAnsi="Fira Sans" w:cs="Fira Sans"/>
          <w:color w:val="943B91"/>
          <w:sz w:val="24"/>
          <w:szCs w:val="24"/>
        </w:rPr>
      </w:pPr>
    </w:p>
    <w:p w14:paraId="420F60B4" w14:textId="77777777" w:rsidR="00AE2834" w:rsidRDefault="00AE2834">
      <w:pPr>
        <w:pBdr>
          <w:top w:val="nil"/>
          <w:left w:val="nil"/>
          <w:bottom w:val="nil"/>
          <w:right w:val="nil"/>
          <w:between w:val="nil"/>
        </w:pBdr>
        <w:spacing w:line="240" w:lineRule="auto"/>
        <w:jc w:val="both"/>
        <w:rPr>
          <w:rFonts w:ascii="Fira Sans" w:eastAsia="Fira Sans" w:hAnsi="Fira Sans" w:cs="Fira Sans"/>
          <w:color w:val="943B91"/>
          <w:sz w:val="24"/>
          <w:szCs w:val="24"/>
        </w:rPr>
      </w:pPr>
    </w:p>
    <w:p w14:paraId="5EEE881F" w14:textId="33B937AA" w:rsidR="0030077A" w:rsidRDefault="00AE2834">
      <w:pPr>
        <w:pBdr>
          <w:top w:val="nil"/>
          <w:left w:val="nil"/>
          <w:bottom w:val="nil"/>
          <w:right w:val="nil"/>
          <w:between w:val="nil"/>
        </w:pBdr>
        <w:spacing w:line="240" w:lineRule="auto"/>
        <w:jc w:val="both"/>
        <w:rPr>
          <w:rFonts w:ascii="Fira Sans ExtraBold" w:eastAsia="Fira Sans ExtraBold" w:hAnsi="Fira Sans ExtraBold" w:cs="Fira Sans ExtraBold"/>
          <w:color w:val="943B91"/>
          <w:sz w:val="28"/>
          <w:szCs w:val="28"/>
        </w:rPr>
      </w:pPr>
      <w:r>
        <w:rPr>
          <w:rFonts w:ascii="Fira Sans ExtraBold" w:hAnsi="Fira Sans ExtraBold"/>
          <w:color w:val="943B91"/>
          <w:sz w:val="28"/>
        </w:rPr>
        <w:lastRenderedPageBreak/>
        <w:t>Un escaso nivel de conocimientos sobre el papel de las microbiotas</w:t>
      </w:r>
      <w:r w:rsidR="009B3882">
        <w:rPr>
          <w:rFonts w:ascii="Fira Sans ExtraBold" w:hAnsi="Fira Sans ExtraBold"/>
          <w:color w:val="943B91"/>
          <w:sz w:val="28"/>
        </w:rPr>
        <w:t xml:space="preserve"> en </w:t>
      </w:r>
      <w:r>
        <w:rPr>
          <w:rFonts w:ascii="Fira Sans ExtraBold" w:hAnsi="Fira Sans ExtraBold"/>
          <w:color w:val="943B91"/>
          <w:sz w:val="28"/>
        </w:rPr>
        <w:t>la salud…</w:t>
      </w:r>
    </w:p>
    <w:p w14:paraId="7FE8E35A" w14:textId="77777777" w:rsidR="0030077A" w:rsidRDefault="0030077A">
      <w:pPr>
        <w:pBdr>
          <w:top w:val="nil"/>
          <w:left w:val="nil"/>
          <w:bottom w:val="nil"/>
          <w:right w:val="nil"/>
          <w:between w:val="nil"/>
        </w:pBdr>
        <w:jc w:val="both"/>
        <w:rPr>
          <w:rFonts w:ascii="Fira Sans" w:eastAsia="Fira Sans" w:hAnsi="Fira Sans" w:cs="Fira Sans"/>
          <w:color w:val="000000"/>
        </w:rPr>
      </w:pPr>
    </w:p>
    <w:p w14:paraId="2466E896" w14:textId="14223A1A" w:rsidR="0030077A" w:rsidRDefault="00AE2834">
      <w:pPr>
        <w:numPr>
          <w:ilvl w:val="0"/>
          <w:numId w:val="2"/>
        </w:numPr>
        <w:pBdr>
          <w:top w:val="nil"/>
          <w:left w:val="nil"/>
          <w:bottom w:val="nil"/>
          <w:right w:val="nil"/>
          <w:between w:val="nil"/>
        </w:pBdr>
        <w:jc w:val="both"/>
        <w:rPr>
          <w:color w:val="200F40"/>
        </w:rPr>
      </w:pPr>
      <w:r>
        <w:rPr>
          <w:rFonts w:ascii="Fira Sans" w:hAnsi="Fira Sans"/>
          <w:b/>
          <w:color w:val="200F40"/>
        </w:rPr>
        <w:t>Solo 1 persona de cada 5 declara que conoce el significado exacto del término «microbiota» (21%).</w:t>
      </w:r>
      <w:r>
        <w:rPr>
          <w:rFonts w:ascii="Fira Sans" w:hAnsi="Fira Sans"/>
          <w:color w:val="200F40"/>
        </w:rPr>
        <w:t xml:space="preserve"> La microbiota intestinal es la más conocida, pues un 53% de los encuestados conocen el término, pero solamente un 24% declara que sabe exactamente lo que es. Las demás microbiotas son mucho menos conocidas; por orden, la microbiota vaginal (el 45% de los entrevistados conocen el término y solo el 18% tiene un conocimiento exacto), la microbiota bucodental (el 43% la conoce de nombre, pero solo el 17% sabe lo que es) o la microbiota </w:t>
      </w:r>
      <w:r w:rsidR="009B3882">
        <w:rPr>
          <w:rFonts w:ascii="Fira Sans" w:hAnsi="Fira Sans"/>
          <w:color w:val="200F40"/>
        </w:rPr>
        <w:t xml:space="preserve">cutánea </w:t>
      </w:r>
      <w:r>
        <w:rPr>
          <w:rFonts w:ascii="Fira Sans" w:hAnsi="Fira Sans"/>
          <w:color w:val="200F40"/>
        </w:rPr>
        <w:t xml:space="preserve">(el 40% conoce el término, pero solo el 15% sabe lo que es). </w:t>
      </w:r>
    </w:p>
    <w:p w14:paraId="1AF583C2" w14:textId="77777777" w:rsidR="0030077A" w:rsidRDefault="00AE2834">
      <w:pPr>
        <w:numPr>
          <w:ilvl w:val="0"/>
          <w:numId w:val="2"/>
        </w:numPr>
        <w:pBdr>
          <w:top w:val="nil"/>
          <w:left w:val="nil"/>
          <w:bottom w:val="nil"/>
          <w:right w:val="nil"/>
          <w:between w:val="nil"/>
        </w:pBdr>
        <w:jc w:val="both"/>
        <w:rPr>
          <w:color w:val="200F40"/>
        </w:rPr>
      </w:pPr>
      <w:r>
        <w:rPr>
          <w:rFonts w:ascii="Fira Sans" w:hAnsi="Fira Sans"/>
          <w:color w:val="200F40"/>
        </w:rPr>
        <w:t xml:space="preserve">Tres entrevistados de cada 4 tienen conciencia de que un riesgo de desequilibrio de las microbiotas puede tener consecuencias importantes para la salud (75%). El 74% de las personas entrevistadas declaran que nuestra alimentación tiene consecuencias importantes sobre el equilibrio de la microbiota y el 72% que la microbiota desempeña un verdadero papel en los mecanismos de defensa inmunitaria. </w:t>
      </w:r>
    </w:p>
    <w:p w14:paraId="57CC64F8" w14:textId="180B853F" w:rsidR="0030077A" w:rsidRDefault="00AE2834">
      <w:pPr>
        <w:numPr>
          <w:ilvl w:val="0"/>
          <w:numId w:val="2"/>
        </w:numPr>
        <w:pBdr>
          <w:top w:val="nil"/>
          <w:left w:val="nil"/>
          <w:bottom w:val="nil"/>
          <w:right w:val="nil"/>
          <w:between w:val="nil"/>
        </w:pBdr>
        <w:jc w:val="both"/>
        <w:rPr>
          <w:color w:val="200F40"/>
        </w:rPr>
      </w:pPr>
      <w:r>
        <w:rPr>
          <w:rFonts w:ascii="Fira Sans" w:hAnsi="Fira Sans"/>
          <w:b/>
          <w:color w:val="200F40"/>
        </w:rPr>
        <w:t>Pero más de 1 persona de cada 3 no son conscientes de que los antibióticos tienen un impacto sobre las microbiotas (34%).</w:t>
      </w:r>
      <w:r>
        <w:rPr>
          <w:rFonts w:ascii="Fira Sans" w:hAnsi="Fira Sans"/>
          <w:color w:val="200F40"/>
        </w:rPr>
        <w:t xml:space="preserve"> La gran mayoría de los entrevistados ignoran que ciertas enfermedades no digestivas, como la enfermedad de Parkinson, la enfermedad de Alzheimer o incluso el autismo, podrían estar relacionadas con las microbiotas (75%). </w:t>
      </w:r>
    </w:p>
    <w:p w14:paraId="574A6079" w14:textId="77777777" w:rsidR="0030077A" w:rsidRDefault="0030077A">
      <w:pPr>
        <w:rPr>
          <w:rFonts w:ascii="Fira Sans" w:eastAsia="Fira Sans" w:hAnsi="Fira Sans" w:cs="Fira Sans"/>
          <w:color w:val="943B91"/>
        </w:rPr>
      </w:pPr>
    </w:p>
    <w:p w14:paraId="23CB3210" w14:textId="54BEC1A8" w:rsidR="0030077A" w:rsidRDefault="00AE2834">
      <w:pPr>
        <w:rPr>
          <w:rFonts w:ascii="Fira Sans" w:eastAsia="Fira Sans" w:hAnsi="Fira Sans" w:cs="Fira Sans"/>
          <w:b/>
          <w:color w:val="943B91"/>
          <w:sz w:val="24"/>
          <w:szCs w:val="24"/>
          <w:u w:val="single"/>
        </w:rPr>
      </w:pPr>
      <w:r>
        <w:rPr>
          <w:rFonts w:ascii="Fira Sans ExtraBold" w:hAnsi="Fira Sans ExtraBold"/>
          <w:color w:val="943B91"/>
          <w:sz w:val="28"/>
        </w:rPr>
        <w:t>… y una tímida toma de conciencia sobre los comportamientos correctos</w:t>
      </w:r>
      <w:r w:rsidR="009B3882">
        <w:rPr>
          <w:rFonts w:ascii="Fira Sans ExtraBold" w:hAnsi="Fira Sans ExtraBold"/>
          <w:color w:val="943B91"/>
          <w:sz w:val="28"/>
        </w:rPr>
        <w:t xml:space="preserve"> que deben adoptarse </w:t>
      </w:r>
      <w:r>
        <w:rPr>
          <w:rFonts w:ascii="Fira Sans ExtraBold" w:hAnsi="Fira Sans ExtraBold"/>
          <w:color w:val="943B91"/>
          <w:sz w:val="28"/>
        </w:rPr>
        <w:t xml:space="preserve">para cuidar </w:t>
      </w:r>
      <w:r w:rsidR="009B3882">
        <w:rPr>
          <w:rFonts w:ascii="Fira Sans ExtraBold" w:hAnsi="Fira Sans ExtraBold"/>
          <w:color w:val="943B91"/>
          <w:sz w:val="28"/>
        </w:rPr>
        <w:t xml:space="preserve">de sus </w:t>
      </w:r>
      <w:r>
        <w:rPr>
          <w:rFonts w:ascii="Fira Sans ExtraBold" w:hAnsi="Fira Sans ExtraBold"/>
          <w:color w:val="943B91"/>
          <w:sz w:val="28"/>
        </w:rPr>
        <w:t>microbiotas</w:t>
      </w:r>
    </w:p>
    <w:p w14:paraId="454C6262" w14:textId="77777777" w:rsidR="0030077A" w:rsidRDefault="0030077A">
      <w:pPr>
        <w:pBdr>
          <w:top w:val="nil"/>
          <w:left w:val="nil"/>
          <w:bottom w:val="nil"/>
          <w:right w:val="nil"/>
          <w:between w:val="nil"/>
        </w:pBdr>
        <w:spacing w:line="240" w:lineRule="auto"/>
        <w:jc w:val="both"/>
        <w:rPr>
          <w:rFonts w:ascii="Fira Sans" w:eastAsia="Fira Sans" w:hAnsi="Fira Sans" w:cs="Fira Sans"/>
          <w:color w:val="200F40"/>
        </w:rPr>
      </w:pPr>
    </w:p>
    <w:p w14:paraId="1E6729E3" w14:textId="77777777" w:rsidR="0030077A" w:rsidRDefault="00AE2834">
      <w:pPr>
        <w:numPr>
          <w:ilvl w:val="0"/>
          <w:numId w:val="3"/>
        </w:numPr>
        <w:pBdr>
          <w:top w:val="nil"/>
          <w:left w:val="nil"/>
          <w:bottom w:val="nil"/>
          <w:right w:val="nil"/>
          <w:between w:val="nil"/>
        </w:pBdr>
        <w:jc w:val="both"/>
        <w:rPr>
          <w:rFonts w:ascii="Fira Sans" w:eastAsia="Fira Sans" w:hAnsi="Fira Sans" w:cs="Fira Sans"/>
        </w:rPr>
      </w:pPr>
      <w:r>
        <w:rPr>
          <w:rFonts w:ascii="Fira Sans" w:hAnsi="Fira Sans"/>
          <w:color w:val="200F40"/>
        </w:rPr>
        <w:t xml:space="preserve">Saben que hay que alimentarse de forma equilibrada (84%), practicar una actividad física (76%) y no fumar (72%) para gozar de buena salud y, por deducción, que estos comportamientos tienen un impacto favorable sobre las microbiotas. </w:t>
      </w:r>
    </w:p>
    <w:p w14:paraId="76BEAC99" w14:textId="13ED58EE" w:rsidR="0030077A" w:rsidRDefault="00AE2834">
      <w:pPr>
        <w:numPr>
          <w:ilvl w:val="0"/>
          <w:numId w:val="3"/>
        </w:numPr>
        <w:pBdr>
          <w:top w:val="nil"/>
          <w:left w:val="nil"/>
          <w:bottom w:val="nil"/>
          <w:right w:val="nil"/>
          <w:between w:val="nil"/>
        </w:pBdr>
        <w:jc w:val="both"/>
        <w:rPr>
          <w:rFonts w:ascii="Calibri" w:eastAsia="Calibri" w:hAnsi="Calibri" w:cs="Calibri"/>
        </w:rPr>
      </w:pPr>
      <w:r>
        <w:rPr>
          <w:rFonts w:ascii="Fira Sans" w:hAnsi="Fira Sans"/>
          <w:b/>
          <w:color w:val="200F40"/>
        </w:rPr>
        <w:t>En cambio, cuando se trata de comportamientos más específicos, el nivel de conocimientos disminuye:</w:t>
      </w:r>
      <w:r>
        <w:rPr>
          <w:rFonts w:ascii="Fira Sans" w:hAnsi="Fira Sans"/>
          <w:color w:val="200F40"/>
        </w:rPr>
        <w:t xml:space="preserve"> solo 1 persona de cada 3 sabe que es mejor no lavarse dos veces al día para proteger la microbiota de la piel (35%). Menos de 1 mujer de cada 2 sabe que hay que evitar las duchas vaginales porque son malas para la microbiota vaginal (42%). </w:t>
      </w:r>
    </w:p>
    <w:p w14:paraId="0BF06032" w14:textId="2FEE0E9F" w:rsidR="0030077A" w:rsidRDefault="00AE2834">
      <w:pPr>
        <w:numPr>
          <w:ilvl w:val="0"/>
          <w:numId w:val="3"/>
        </w:numPr>
        <w:pBdr>
          <w:top w:val="nil"/>
          <w:left w:val="nil"/>
          <w:bottom w:val="nil"/>
          <w:right w:val="nil"/>
          <w:between w:val="nil"/>
        </w:pBdr>
        <w:jc w:val="both"/>
        <w:rPr>
          <w:rFonts w:ascii="Fira Sans" w:eastAsia="Fira Sans" w:hAnsi="Fira Sans" w:cs="Fira Sans"/>
        </w:rPr>
      </w:pPr>
      <w:r>
        <w:rPr>
          <w:rFonts w:ascii="Fira Sans" w:hAnsi="Fira Sans"/>
          <w:color w:val="200F40"/>
        </w:rPr>
        <w:t xml:space="preserve">Más de 1 persona de cada 2 declara </w:t>
      </w:r>
      <w:r w:rsidR="009B3882">
        <w:rPr>
          <w:rFonts w:ascii="Fira Sans" w:hAnsi="Fira Sans"/>
          <w:color w:val="200F40"/>
        </w:rPr>
        <w:t xml:space="preserve">haber adoptado </w:t>
      </w:r>
      <w:r w:rsidR="00FD6AB9">
        <w:rPr>
          <w:rFonts w:ascii="Fira Sans" w:hAnsi="Fira Sans"/>
          <w:color w:val="200F40"/>
        </w:rPr>
        <w:t xml:space="preserve">nuevos </w:t>
      </w:r>
      <w:r>
        <w:rPr>
          <w:rFonts w:ascii="Fira Sans" w:hAnsi="Fira Sans"/>
          <w:color w:val="200F40"/>
        </w:rPr>
        <w:t xml:space="preserve">comportamientos en su vida cotidiana para mantener el equilibrio de sus microbiotas (57%). </w:t>
      </w:r>
    </w:p>
    <w:p w14:paraId="1FA72653" w14:textId="7CB0A53A" w:rsidR="0030077A" w:rsidRDefault="00AE2834">
      <w:pPr>
        <w:numPr>
          <w:ilvl w:val="0"/>
          <w:numId w:val="3"/>
        </w:numPr>
        <w:pBdr>
          <w:top w:val="nil"/>
          <w:left w:val="nil"/>
          <w:bottom w:val="nil"/>
          <w:right w:val="nil"/>
          <w:between w:val="nil"/>
        </w:pBdr>
        <w:jc w:val="both"/>
        <w:rPr>
          <w:rFonts w:ascii="Calibri" w:eastAsia="Calibri" w:hAnsi="Calibri" w:cs="Calibri"/>
        </w:rPr>
      </w:pPr>
      <w:bookmarkStart w:id="0" w:name="_heading=h.30j0zll"/>
      <w:bookmarkEnd w:id="0"/>
      <w:r>
        <w:rPr>
          <w:rFonts w:ascii="Fira Sans" w:hAnsi="Fira Sans"/>
          <w:b/>
          <w:color w:val="200F40"/>
        </w:rPr>
        <w:t xml:space="preserve">Hay que alegrarse de esta toma de conciencia, aunque también es conveniente </w:t>
      </w:r>
      <w:r w:rsidR="009B3882">
        <w:rPr>
          <w:rFonts w:ascii="Fira Sans" w:hAnsi="Fira Sans"/>
          <w:b/>
          <w:color w:val="200F40"/>
        </w:rPr>
        <w:t>ponerla en contexto</w:t>
      </w:r>
      <w:r>
        <w:rPr>
          <w:rFonts w:ascii="Fira Sans" w:hAnsi="Fira Sans"/>
          <w:b/>
          <w:color w:val="200F40"/>
        </w:rPr>
        <w:t xml:space="preserve">. </w:t>
      </w:r>
      <w:r>
        <w:rPr>
          <w:rFonts w:ascii="Fira Sans" w:hAnsi="Fira Sans"/>
          <w:color w:val="200F40"/>
        </w:rPr>
        <w:t xml:space="preserve">Primero porque solo 1 individuo de cada 7 dice que lo hace </w:t>
      </w:r>
      <w:r>
        <w:rPr>
          <w:rFonts w:ascii="Fira Sans" w:hAnsi="Fira Sans"/>
          <w:color w:val="200F40"/>
        </w:rPr>
        <w:lastRenderedPageBreak/>
        <w:t xml:space="preserve">«mucho» (15%), los demás dicen en su mayoría que solo lo hacen «un poco» (42%). Después porque el 43% de las personas interrogadas dicen que no </w:t>
      </w:r>
      <w:r w:rsidR="009B3882">
        <w:rPr>
          <w:rFonts w:ascii="Fira Sans" w:hAnsi="Fira Sans"/>
          <w:color w:val="200F40"/>
        </w:rPr>
        <w:t xml:space="preserve">han adoptado </w:t>
      </w:r>
      <w:r>
        <w:rPr>
          <w:rFonts w:ascii="Fira Sans" w:hAnsi="Fira Sans"/>
          <w:color w:val="200F40"/>
        </w:rPr>
        <w:t xml:space="preserve">ningún comportamiento específico. Los resultados del Observatorio Internacional de las Microbiotas muestran que queda mucho por hacer en este </w:t>
      </w:r>
      <w:r w:rsidR="009B3882">
        <w:rPr>
          <w:rFonts w:ascii="Fira Sans" w:hAnsi="Fira Sans"/>
          <w:color w:val="200F40"/>
        </w:rPr>
        <w:t>ámbito</w:t>
      </w:r>
      <w:r>
        <w:rPr>
          <w:rFonts w:ascii="Fira Sans" w:hAnsi="Fira Sans"/>
          <w:color w:val="200F40"/>
        </w:rPr>
        <w:t xml:space="preserve">. </w:t>
      </w:r>
    </w:p>
    <w:p w14:paraId="494DA476" w14:textId="77777777" w:rsidR="0030077A" w:rsidRDefault="0030077A">
      <w:pPr>
        <w:rPr>
          <w:rFonts w:ascii="Fira Sans" w:eastAsia="Fira Sans" w:hAnsi="Fira Sans" w:cs="Fira Sans"/>
          <w:b/>
          <w:color w:val="200F40"/>
        </w:rPr>
      </w:pPr>
    </w:p>
    <w:p w14:paraId="42AB2BC4" w14:textId="51E1485F" w:rsidR="0030077A" w:rsidRDefault="00AE2834">
      <w:pPr>
        <w:rPr>
          <w:rFonts w:ascii="Fira Sans ExtraBold" w:eastAsia="Fira Sans ExtraBold" w:hAnsi="Fira Sans ExtraBold" w:cs="Fira Sans ExtraBold"/>
          <w:color w:val="943B91"/>
          <w:sz w:val="28"/>
          <w:szCs w:val="28"/>
        </w:rPr>
      </w:pPr>
      <w:r>
        <w:rPr>
          <w:rFonts w:ascii="Fira Sans ExtraBold" w:hAnsi="Fira Sans ExtraBold"/>
          <w:color w:val="943B91"/>
          <w:sz w:val="28"/>
        </w:rPr>
        <w:t xml:space="preserve">La microbiota explicada por los profesionales </w:t>
      </w:r>
      <w:r w:rsidR="009B3882">
        <w:rPr>
          <w:rFonts w:ascii="Fira Sans ExtraBold" w:hAnsi="Fira Sans ExtraBold"/>
          <w:color w:val="943B91"/>
          <w:sz w:val="28"/>
        </w:rPr>
        <w:t>sanitarios</w:t>
      </w:r>
      <w:r>
        <w:rPr>
          <w:rFonts w:ascii="Fira Sans ExtraBold" w:hAnsi="Fira Sans ExtraBold"/>
          <w:color w:val="943B91"/>
          <w:sz w:val="28"/>
        </w:rPr>
        <w:t>: ¡la clave</w:t>
      </w:r>
    </w:p>
    <w:p w14:paraId="3BBAE36F" w14:textId="4AA24026" w:rsidR="0030077A" w:rsidRDefault="00AE2834">
      <w:pPr>
        <w:rPr>
          <w:rFonts w:ascii="Fira Sans" w:eastAsia="Fira Sans" w:hAnsi="Fira Sans" w:cs="Fira Sans"/>
          <w:b/>
          <w:color w:val="943B91"/>
        </w:rPr>
      </w:pPr>
      <w:r>
        <w:rPr>
          <w:rFonts w:ascii="Fira Sans ExtraBold" w:hAnsi="Fira Sans ExtraBold"/>
          <w:color w:val="943B91"/>
          <w:sz w:val="28"/>
        </w:rPr>
        <w:t xml:space="preserve">del éxito para adoptar comportamientos correctos! </w:t>
      </w:r>
    </w:p>
    <w:p w14:paraId="0BB3DC04" w14:textId="77777777" w:rsidR="0030077A" w:rsidRDefault="00AE2834">
      <w:pPr>
        <w:jc w:val="both"/>
        <w:rPr>
          <w:rFonts w:ascii="Fira Sans" w:eastAsia="Fira Sans" w:hAnsi="Fira Sans" w:cs="Fira Sans"/>
          <w:b/>
          <w:color w:val="200F40"/>
        </w:rPr>
      </w:pPr>
      <w:r>
        <w:rPr>
          <w:rFonts w:ascii="Fira Sans" w:hAnsi="Fira Sans"/>
          <w:b/>
          <w:color w:val="200F40"/>
          <w:sz w:val="24"/>
          <w:u w:val="single"/>
        </w:rPr>
        <w:t xml:space="preserve"> </w:t>
      </w:r>
    </w:p>
    <w:p w14:paraId="0E0C2BE5" w14:textId="77777777" w:rsidR="0030077A" w:rsidRDefault="00AE2834">
      <w:pPr>
        <w:numPr>
          <w:ilvl w:val="0"/>
          <w:numId w:val="4"/>
        </w:numPr>
        <w:pBdr>
          <w:top w:val="nil"/>
          <w:left w:val="nil"/>
          <w:bottom w:val="nil"/>
          <w:right w:val="nil"/>
          <w:between w:val="nil"/>
        </w:pBdr>
        <w:jc w:val="both"/>
        <w:rPr>
          <w:rFonts w:ascii="Calibri" w:eastAsia="Calibri" w:hAnsi="Calibri" w:cs="Calibri"/>
        </w:rPr>
      </w:pPr>
      <w:r>
        <w:rPr>
          <w:rFonts w:ascii="Fira Sans" w:hAnsi="Fira Sans"/>
          <w:b/>
          <w:color w:val="200F40"/>
        </w:rPr>
        <w:t xml:space="preserve">Solo 1 persona de cada 3 declara que su médico ya le enseñó lo que es la microbiota y para qué sirve (37%). </w:t>
      </w:r>
      <w:r>
        <w:rPr>
          <w:rFonts w:ascii="Fira Sans" w:hAnsi="Fira Sans"/>
          <w:color w:val="200F40"/>
        </w:rPr>
        <w:t xml:space="preserve">Menos de 1 paciente de cada 2 declara que su médico ya le explicó los comportamientos correctos para mantener equilibrada la microbiota (44%, pero solo el 19% recibió estas explicaciones más de una vez). </w:t>
      </w:r>
    </w:p>
    <w:p w14:paraId="03FCAAA4" w14:textId="2DFFD578" w:rsidR="0030077A" w:rsidRDefault="00AE2834">
      <w:pPr>
        <w:numPr>
          <w:ilvl w:val="0"/>
          <w:numId w:val="4"/>
        </w:numPr>
        <w:pBdr>
          <w:top w:val="nil"/>
          <w:left w:val="nil"/>
          <w:bottom w:val="nil"/>
          <w:right w:val="nil"/>
          <w:between w:val="nil"/>
        </w:pBdr>
        <w:jc w:val="both"/>
        <w:rPr>
          <w:rFonts w:ascii="Fira Sans" w:eastAsia="Fira Sans" w:hAnsi="Fira Sans" w:cs="Fira Sans"/>
        </w:rPr>
      </w:pPr>
      <w:r>
        <w:rPr>
          <w:rFonts w:ascii="Fira Sans" w:hAnsi="Fira Sans"/>
          <w:color w:val="200F40"/>
        </w:rPr>
        <w:t xml:space="preserve">La información </w:t>
      </w:r>
      <w:r w:rsidR="009B3882">
        <w:rPr>
          <w:rFonts w:ascii="Fira Sans" w:hAnsi="Fira Sans"/>
          <w:color w:val="200F40"/>
        </w:rPr>
        <w:t xml:space="preserve">que proporcionan </w:t>
      </w:r>
      <w:r>
        <w:rPr>
          <w:rFonts w:ascii="Fira Sans" w:hAnsi="Fira Sans"/>
          <w:color w:val="200F40"/>
        </w:rPr>
        <w:t xml:space="preserve">los médicos </w:t>
      </w:r>
      <w:r w:rsidR="009B3882">
        <w:rPr>
          <w:rFonts w:ascii="Fira Sans" w:hAnsi="Fira Sans"/>
          <w:color w:val="200F40"/>
        </w:rPr>
        <w:t xml:space="preserve">al momento de recetar </w:t>
      </w:r>
      <w:r>
        <w:rPr>
          <w:rFonts w:ascii="Fira Sans" w:hAnsi="Fira Sans"/>
          <w:color w:val="200F40"/>
        </w:rPr>
        <w:t xml:space="preserve">antibióticos ilustra con claridad hasta qué punto </w:t>
      </w:r>
      <w:r w:rsidR="009B3882">
        <w:rPr>
          <w:rFonts w:ascii="Fira Sans" w:hAnsi="Fira Sans"/>
          <w:color w:val="200F40"/>
        </w:rPr>
        <w:t xml:space="preserve">dicha información </w:t>
      </w:r>
      <w:r>
        <w:rPr>
          <w:rFonts w:ascii="Fira Sans" w:hAnsi="Fira Sans"/>
          <w:color w:val="200F40"/>
        </w:rPr>
        <w:t>todavía es insuficiente. Menos de 1 paciente de cada 2 dice que su médico lo informó sobre el riesgo de eventuales trastornos digestivos debidos a la toma de antibióticos (41%). Solo 1</w:t>
      </w:r>
      <w:r w:rsidR="009B3882">
        <w:rPr>
          <w:rFonts w:ascii="Fira Sans" w:hAnsi="Fira Sans"/>
          <w:color w:val="200F40"/>
        </w:rPr>
        <w:t> </w:t>
      </w:r>
      <w:r>
        <w:rPr>
          <w:rFonts w:ascii="Fira Sans" w:hAnsi="Fira Sans"/>
          <w:color w:val="200F40"/>
        </w:rPr>
        <w:t xml:space="preserve">paciente de cada 3 declara que </w:t>
      </w:r>
      <w:r w:rsidR="009B3882">
        <w:rPr>
          <w:rFonts w:ascii="Fira Sans" w:hAnsi="Fira Sans"/>
          <w:color w:val="200F40"/>
        </w:rPr>
        <w:t xml:space="preserve">el </w:t>
      </w:r>
      <w:r>
        <w:rPr>
          <w:rFonts w:ascii="Fira Sans" w:hAnsi="Fira Sans"/>
          <w:color w:val="200F40"/>
        </w:rPr>
        <w:t xml:space="preserve">profesional </w:t>
      </w:r>
      <w:r w:rsidR="009B3882">
        <w:rPr>
          <w:rFonts w:ascii="Fira Sans" w:hAnsi="Fira Sans"/>
          <w:color w:val="200F40"/>
        </w:rPr>
        <w:t xml:space="preserve">sanitario le dio consejos </w:t>
      </w:r>
      <w:r>
        <w:rPr>
          <w:rFonts w:ascii="Fira Sans" w:hAnsi="Fira Sans"/>
          <w:color w:val="200F40"/>
        </w:rPr>
        <w:t xml:space="preserve">para limitar al máximo las consecuencias negativas de la toma de antibióticos sobre las microbiotas (34%) o lo informó de que la toma de antibióticos podía tener consecuencias negativas sobre el equilibrio de las microbiotas (33%). </w:t>
      </w:r>
    </w:p>
    <w:p w14:paraId="0F2AFCC5" w14:textId="16DA90E8" w:rsidR="0030077A" w:rsidRDefault="00AE2834">
      <w:pPr>
        <w:numPr>
          <w:ilvl w:val="0"/>
          <w:numId w:val="4"/>
        </w:numPr>
        <w:pBdr>
          <w:top w:val="nil"/>
          <w:left w:val="nil"/>
          <w:bottom w:val="nil"/>
          <w:right w:val="nil"/>
          <w:between w:val="nil"/>
        </w:pBdr>
        <w:jc w:val="both"/>
        <w:rPr>
          <w:rFonts w:ascii="Calibri" w:eastAsia="Calibri" w:hAnsi="Calibri" w:cs="Calibri"/>
        </w:rPr>
      </w:pPr>
      <w:r>
        <w:rPr>
          <w:rFonts w:ascii="Fira Sans" w:hAnsi="Fira Sans"/>
          <w:b/>
          <w:color w:val="200F40"/>
        </w:rPr>
        <w:t xml:space="preserve">En cambio, </w:t>
      </w:r>
      <w:r w:rsidR="009B3882">
        <w:rPr>
          <w:rFonts w:ascii="Fira Sans" w:hAnsi="Fira Sans"/>
          <w:b/>
          <w:color w:val="200F40"/>
        </w:rPr>
        <w:t xml:space="preserve">desde que el </w:t>
      </w:r>
      <w:r>
        <w:rPr>
          <w:rFonts w:ascii="Fira Sans" w:hAnsi="Fira Sans"/>
          <w:b/>
          <w:color w:val="200F40"/>
        </w:rPr>
        <w:t>paciente recib</w:t>
      </w:r>
      <w:r w:rsidR="009B3882">
        <w:rPr>
          <w:rFonts w:ascii="Fira Sans" w:hAnsi="Fira Sans"/>
          <w:b/>
          <w:color w:val="200F40"/>
        </w:rPr>
        <w:t>e</w:t>
      </w:r>
      <w:r>
        <w:rPr>
          <w:rFonts w:ascii="Fira Sans" w:hAnsi="Fira Sans"/>
          <w:b/>
          <w:color w:val="200F40"/>
        </w:rPr>
        <w:t xml:space="preserve"> </w:t>
      </w:r>
      <w:r w:rsidR="009B3882">
        <w:rPr>
          <w:rFonts w:ascii="Fira Sans" w:hAnsi="Fira Sans"/>
          <w:b/>
          <w:color w:val="200F40"/>
        </w:rPr>
        <w:t xml:space="preserve">toda </w:t>
      </w:r>
      <w:r>
        <w:rPr>
          <w:rFonts w:ascii="Fira Sans" w:hAnsi="Fira Sans"/>
          <w:b/>
          <w:color w:val="200F40"/>
        </w:rPr>
        <w:t xml:space="preserve">la información y de manera repetida sobre el tema, su relación con la microbiota </w:t>
      </w:r>
      <w:r w:rsidR="009B3882">
        <w:rPr>
          <w:rFonts w:ascii="Fira Sans" w:hAnsi="Fira Sans"/>
          <w:b/>
          <w:color w:val="200F40"/>
        </w:rPr>
        <w:t>cambia por completo</w:t>
      </w:r>
      <w:r>
        <w:rPr>
          <w:rFonts w:ascii="Fira Sans" w:hAnsi="Fira Sans"/>
          <w:b/>
          <w:color w:val="200F40"/>
        </w:rPr>
        <w:t>.</w:t>
      </w:r>
      <w:r>
        <w:rPr>
          <w:rFonts w:ascii="Fira Sans" w:hAnsi="Fira Sans"/>
          <w:b/>
          <w:color w:val="200F40"/>
          <w:sz w:val="24"/>
        </w:rPr>
        <w:t xml:space="preserve"> </w:t>
      </w:r>
      <w:r>
        <w:rPr>
          <w:rFonts w:ascii="Fira Sans" w:hAnsi="Fira Sans"/>
          <w:color w:val="200F40"/>
        </w:rPr>
        <w:t xml:space="preserve">Más de 9 personas de cada 10 (95%) que recibieron esta información </w:t>
      </w:r>
      <w:r w:rsidR="004266B2">
        <w:rPr>
          <w:rFonts w:ascii="Fira Sans" w:hAnsi="Fira Sans"/>
          <w:color w:val="200F40"/>
        </w:rPr>
        <w:t xml:space="preserve">del </w:t>
      </w:r>
      <w:r>
        <w:rPr>
          <w:rFonts w:ascii="Fira Sans" w:hAnsi="Fira Sans"/>
          <w:color w:val="200F40"/>
        </w:rPr>
        <w:t xml:space="preserve">profesional </w:t>
      </w:r>
      <w:r w:rsidR="004266B2">
        <w:rPr>
          <w:rFonts w:ascii="Fira Sans" w:hAnsi="Fira Sans"/>
          <w:color w:val="200F40"/>
        </w:rPr>
        <w:t xml:space="preserve">sanitario </w:t>
      </w:r>
      <w:r>
        <w:rPr>
          <w:rFonts w:ascii="Fira Sans" w:hAnsi="Fira Sans"/>
          <w:color w:val="200F40"/>
        </w:rPr>
        <w:t xml:space="preserve">después adoptaron un </w:t>
      </w:r>
      <w:r w:rsidR="00FD6AB9">
        <w:rPr>
          <w:rFonts w:ascii="Fira Sans" w:hAnsi="Fira Sans"/>
          <w:color w:val="200F40"/>
        </w:rPr>
        <w:t xml:space="preserve">nuevo </w:t>
      </w:r>
      <w:r>
        <w:rPr>
          <w:rFonts w:ascii="Fira Sans" w:hAnsi="Fira Sans"/>
          <w:color w:val="200F40"/>
        </w:rPr>
        <w:t xml:space="preserve">comportamiento para mantener una microbiota equilibrada, frente al 57% de las personas que no fueron informadas. </w:t>
      </w:r>
    </w:p>
    <w:p w14:paraId="7F2FC4F7" w14:textId="77777777" w:rsidR="0030077A" w:rsidRDefault="0030077A">
      <w:pPr>
        <w:jc w:val="both"/>
        <w:rPr>
          <w:rFonts w:ascii="Fira Sans" w:eastAsia="Fira Sans" w:hAnsi="Fira Sans" w:cs="Fira Sans"/>
          <w:color w:val="200F40"/>
        </w:rPr>
      </w:pPr>
    </w:p>
    <w:p w14:paraId="42BDF7B2" w14:textId="0FAB29F7" w:rsidR="0030077A" w:rsidRDefault="00AE2834">
      <w:pPr>
        <w:jc w:val="both"/>
        <w:rPr>
          <w:rFonts w:ascii="Fira Sans" w:eastAsia="Fira Sans" w:hAnsi="Fira Sans" w:cs="Fira Sans"/>
          <w:b/>
          <w:color w:val="943B91"/>
          <w:sz w:val="24"/>
          <w:szCs w:val="24"/>
          <w:u w:val="single"/>
        </w:rPr>
      </w:pPr>
      <w:r>
        <w:rPr>
          <w:rFonts w:ascii="Fira Sans ExtraBold" w:hAnsi="Fira Sans ExtraBold"/>
          <w:color w:val="943B91"/>
          <w:sz w:val="28"/>
        </w:rPr>
        <w:t>¡</w:t>
      </w:r>
      <w:r w:rsidR="009B3882">
        <w:rPr>
          <w:rFonts w:ascii="Fira Sans ExtraBold" w:hAnsi="Fira Sans ExtraBold"/>
          <w:color w:val="943B91"/>
          <w:sz w:val="28"/>
        </w:rPr>
        <w:t xml:space="preserve">Los ancianos están </w:t>
      </w:r>
      <w:r>
        <w:rPr>
          <w:rFonts w:ascii="Fira Sans ExtraBold" w:hAnsi="Fira Sans ExtraBold"/>
          <w:color w:val="943B91"/>
          <w:sz w:val="28"/>
        </w:rPr>
        <w:t>poco informados</w:t>
      </w:r>
      <w:r w:rsidR="009B3882">
        <w:rPr>
          <w:rFonts w:ascii="Fira Sans ExtraBold" w:hAnsi="Fira Sans ExtraBold"/>
          <w:color w:val="943B91"/>
          <w:sz w:val="28"/>
        </w:rPr>
        <w:t>,</w:t>
      </w:r>
      <w:r>
        <w:rPr>
          <w:rFonts w:ascii="Fira Sans ExtraBold" w:hAnsi="Fira Sans ExtraBold"/>
          <w:color w:val="943B91"/>
          <w:sz w:val="28"/>
        </w:rPr>
        <w:t xml:space="preserve"> aunque son los más frágiles!</w:t>
      </w:r>
    </w:p>
    <w:p w14:paraId="45212C33" w14:textId="69346E06" w:rsidR="0030077A" w:rsidRDefault="00AE2834">
      <w:pPr>
        <w:numPr>
          <w:ilvl w:val="0"/>
          <w:numId w:val="1"/>
        </w:numPr>
        <w:pBdr>
          <w:top w:val="nil"/>
          <w:left w:val="nil"/>
          <w:bottom w:val="nil"/>
          <w:right w:val="nil"/>
          <w:between w:val="nil"/>
        </w:pBdr>
        <w:jc w:val="both"/>
        <w:rPr>
          <w:rFonts w:ascii="Fira Sans" w:eastAsia="Fira Sans" w:hAnsi="Fira Sans" w:cs="Fira Sans"/>
        </w:rPr>
      </w:pPr>
      <w:r>
        <w:rPr>
          <w:rFonts w:ascii="Fira Sans" w:hAnsi="Fira Sans"/>
          <w:b/>
          <w:color w:val="200F40"/>
        </w:rPr>
        <w:t xml:space="preserve">Aunque tienen una edad en la que los problemas de salud relacionados con el envejecimiento están, en muchos de ellos, cada vez más presentes, los </w:t>
      </w:r>
      <w:r w:rsidR="009B3882">
        <w:rPr>
          <w:rFonts w:ascii="Fira Sans" w:hAnsi="Fira Sans"/>
          <w:b/>
          <w:color w:val="200F40"/>
        </w:rPr>
        <w:t xml:space="preserve">ancianos </w:t>
      </w:r>
      <w:r>
        <w:rPr>
          <w:rFonts w:ascii="Fira Sans" w:hAnsi="Fira Sans"/>
          <w:b/>
          <w:color w:val="200F40"/>
        </w:rPr>
        <w:t>(</w:t>
      </w:r>
      <w:r w:rsidR="009B3882">
        <w:rPr>
          <w:rFonts w:ascii="Fira Sans" w:hAnsi="Fira Sans"/>
          <w:b/>
          <w:color w:val="200F40"/>
        </w:rPr>
        <w:t xml:space="preserve">mayores de </w:t>
      </w:r>
      <w:r>
        <w:rPr>
          <w:rFonts w:ascii="Fira Sans" w:hAnsi="Fira Sans"/>
          <w:b/>
          <w:color w:val="200F40"/>
        </w:rPr>
        <w:t>60 años) son los que saben menos lo que necesita su microbiota intestinal (20%, 4 puntos menos con respecto al total).</w:t>
      </w:r>
    </w:p>
    <w:p w14:paraId="24A9817D" w14:textId="2EB3392C" w:rsidR="0030077A" w:rsidRDefault="00AE2834">
      <w:pPr>
        <w:numPr>
          <w:ilvl w:val="0"/>
          <w:numId w:val="1"/>
        </w:numPr>
        <w:pBdr>
          <w:top w:val="nil"/>
          <w:left w:val="nil"/>
          <w:bottom w:val="nil"/>
          <w:right w:val="nil"/>
          <w:between w:val="nil"/>
        </w:pBdr>
        <w:jc w:val="both"/>
        <w:rPr>
          <w:rFonts w:ascii="Fira Sans" w:eastAsia="Fira Sans" w:hAnsi="Fira Sans" w:cs="Fira Sans"/>
        </w:rPr>
      </w:pPr>
      <w:r>
        <w:rPr>
          <w:rFonts w:ascii="Fira Sans" w:hAnsi="Fira Sans"/>
          <w:color w:val="200F40"/>
        </w:rPr>
        <w:t xml:space="preserve">También son los que menos </w:t>
      </w:r>
      <w:r w:rsidR="009B3882">
        <w:rPr>
          <w:rFonts w:ascii="Fira Sans" w:hAnsi="Fira Sans"/>
          <w:color w:val="200F40"/>
        </w:rPr>
        <w:t xml:space="preserve">han adoptado </w:t>
      </w:r>
      <w:r w:rsidR="00FD6AB9">
        <w:rPr>
          <w:rFonts w:ascii="Fira Sans" w:hAnsi="Fira Sans"/>
          <w:color w:val="200F40"/>
        </w:rPr>
        <w:t xml:space="preserve">nuevos </w:t>
      </w:r>
      <w:r>
        <w:rPr>
          <w:rFonts w:ascii="Fira Sans" w:hAnsi="Fira Sans"/>
          <w:color w:val="200F40"/>
        </w:rPr>
        <w:t xml:space="preserve">comportamientos para mantener equilibrada su microbiota (solo el 50%, frente al 57% del total). </w:t>
      </w:r>
    </w:p>
    <w:p w14:paraId="15D94D8A" w14:textId="77777777" w:rsidR="0030077A" w:rsidRDefault="00AE2834">
      <w:pPr>
        <w:numPr>
          <w:ilvl w:val="0"/>
          <w:numId w:val="1"/>
        </w:numPr>
        <w:pBdr>
          <w:top w:val="nil"/>
          <w:left w:val="nil"/>
          <w:bottom w:val="nil"/>
          <w:right w:val="nil"/>
          <w:between w:val="nil"/>
        </w:pBdr>
        <w:jc w:val="both"/>
        <w:rPr>
          <w:rFonts w:ascii="Fira Sans" w:eastAsia="Fira Sans" w:hAnsi="Fira Sans" w:cs="Fira Sans"/>
        </w:rPr>
      </w:pPr>
      <w:r>
        <w:rPr>
          <w:rFonts w:ascii="Fira Sans" w:hAnsi="Fira Sans"/>
          <w:color w:val="200F40"/>
        </w:rPr>
        <w:t>Una vez más, ante este desfase, los médicos desempeñan un papel esencial para conseguir que los adultos mayores cambien su comportamiento. Ahora bien, son temas de los que hablan poco. Solo 1 adulto mayor de cada 3 ya recibió explicaciones de su médico sobre los comportamientos que debe adoptar para mantener un buen equilibrio de su microbiota (32% frente a 58% en el grupo de 25-</w:t>
      </w:r>
      <w:r>
        <w:rPr>
          <w:rFonts w:ascii="Fira Sans" w:hAnsi="Fira Sans"/>
          <w:color w:val="200F40"/>
        </w:rPr>
        <w:lastRenderedPageBreak/>
        <w:t xml:space="preserve">34 años). Uno de cada 4 dice que ya recibió explicaciones sobre lo que es la microbiota (26% frente a 50% en el grupo de 25-34 años). Es urgente cambiar el escenario. </w:t>
      </w:r>
    </w:p>
    <w:p w14:paraId="71E1D2B2" w14:textId="77777777" w:rsidR="0030077A" w:rsidRDefault="0030077A">
      <w:pPr>
        <w:pBdr>
          <w:top w:val="nil"/>
          <w:left w:val="nil"/>
          <w:bottom w:val="nil"/>
          <w:right w:val="nil"/>
          <w:between w:val="nil"/>
        </w:pBdr>
        <w:jc w:val="both"/>
        <w:rPr>
          <w:rFonts w:ascii="Fira Sans" w:eastAsia="Fira Sans" w:hAnsi="Fira Sans" w:cs="Fira Sans"/>
          <w:color w:val="200F40"/>
        </w:rPr>
      </w:pPr>
    </w:p>
    <w:p w14:paraId="2BF910CF" w14:textId="04E538E0" w:rsidR="00674381" w:rsidRPr="004266B2" w:rsidRDefault="00674381" w:rsidP="00674381">
      <w:pPr>
        <w:jc w:val="both"/>
        <w:rPr>
          <w:rFonts w:ascii="Fira Sans" w:eastAsiaTheme="minorEastAsia" w:hAnsi="Fira Sans" w:cstheme="minorHAnsi"/>
          <w:b/>
          <w:bCs/>
          <w:color w:val="7030A0"/>
          <w:sz w:val="26"/>
          <w:szCs w:val="26"/>
        </w:rPr>
      </w:pPr>
      <w:r w:rsidRPr="004266B2">
        <w:rPr>
          <w:rFonts w:ascii="Fira Sans" w:hAnsi="Fira Sans"/>
          <w:b/>
          <w:color w:val="7030A0"/>
          <w:sz w:val="26"/>
          <w:szCs w:val="26"/>
        </w:rPr>
        <w:t xml:space="preserve">Los españoles tienen </w:t>
      </w:r>
      <w:r w:rsidR="00695D36">
        <w:rPr>
          <w:rFonts w:ascii="Fira Sans" w:hAnsi="Fira Sans"/>
          <w:b/>
          <w:color w:val="7030A0"/>
          <w:sz w:val="26"/>
          <w:szCs w:val="26"/>
        </w:rPr>
        <w:t xml:space="preserve">escasos </w:t>
      </w:r>
      <w:r w:rsidRPr="004266B2">
        <w:rPr>
          <w:rFonts w:ascii="Fira Sans" w:hAnsi="Fira Sans"/>
          <w:b/>
          <w:color w:val="7030A0"/>
          <w:sz w:val="26"/>
          <w:szCs w:val="26"/>
        </w:rPr>
        <w:t xml:space="preserve">conocimientos sobre las microbiotas y sobre los comportamientos que deben adoptar para preservarlas lo mejor posible: relacionan muy poco sus problemas de salud con las microbiotas. </w:t>
      </w:r>
    </w:p>
    <w:p w14:paraId="52E37669" w14:textId="6806778F" w:rsidR="00674381" w:rsidRPr="00674381" w:rsidRDefault="00674381" w:rsidP="004266B2">
      <w:pPr>
        <w:pStyle w:val="NormalWeb"/>
        <w:numPr>
          <w:ilvl w:val="0"/>
          <w:numId w:val="6"/>
        </w:numPr>
        <w:spacing w:before="120" w:beforeAutospacing="0" w:after="0" w:afterAutospacing="0"/>
        <w:ind w:left="714" w:hanging="357"/>
        <w:jc w:val="both"/>
        <w:rPr>
          <w:rFonts w:ascii="Fira Sans" w:eastAsiaTheme="minorEastAsia" w:hAnsi="Fira Sans" w:cstheme="minorHAnsi"/>
          <w:sz w:val="22"/>
          <w:szCs w:val="22"/>
        </w:rPr>
      </w:pPr>
      <w:r w:rsidRPr="00674381">
        <w:rPr>
          <w:rFonts w:ascii="Fira Sans" w:hAnsi="Fira Sans"/>
          <w:b/>
          <w:sz w:val="22"/>
        </w:rPr>
        <w:t xml:space="preserve">Los españoles también forman parte de </w:t>
      </w:r>
      <w:r>
        <w:rPr>
          <w:rFonts w:ascii="Fira Sans" w:hAnsi="Fira Sans"/>
          <w:b/>
          <w:sz w:val="22"/>
        </w:rPr>
        <w:t xml:space="preserve">las poblaciones </w:t>
      </w:r>
      <w:r w:rsidRPr="00674381">
        <w:rPr>
          <w:rFonts w:ascii="Fira Sans" w:hAnsi="Fira Sans"/>
          <w:b/>
          <w:sz w:val="22"/>
        </w:rPr>
        <w:t>que saben menos de la microbiota, como los franceses, los estadounidenses y, en menor medida, los portugueses</w:t>
      </w:r>
      <w:r w:rsidRPr="00674381">
        <w:rPr>
          <w:rFonts w:ascii="Fira Sans" w:hAnsi="Fira Sans"/>
          <w:sz w:val="22"/>
        </w:rPr>
        <w:t>. Solo una minoría de los españoles saben lo que significan de forma precisa términos como «disbiosis» (solo el 6% frente al 10% del total) y «probiótico» (38% frente al 43% del total).</w:t>
      </w:r>
    </w:p>
    <w:p w14:paraId="3F909A69" w14:textId="3A1739F5" w:rsidR="00674381" w:rsidRPr="00674381" w:rsidRDefault="00674381" w:rsidP="004266B2">
      <w:pPr>
        <w:pStyle w:val="NormalWeb"/>
        <w:numPr>
          <w:ilvl w:val="0"/>
          <w:numId w:val="6"/>
        </w:numPr>
        <w:spacing w:before="120" w:beforeAutospacing="0" w:after="0" w:afterAutospacing="0"/>
        <w:ind w:left="714" w:hanging="357"/>
        <w:jc w:val="both"/>
        <w:rPr>
          <w:rFonts w:ascii="Fira Sans" w:eastAsiaTheme="minorEastAsia" w:hAnsi="Fira Sans" w:cstheme="minorHAnsi"/>
          <w:sz w:val="22"/>
          <w:szCs w:val="22"/>
        </w:rPr>
      </w:pPr>
      <w:r w:rsidRPr="00674381">
        <w:rPr>
          <w:rFonts w:ascii="Fira Sans" w:hAnsi="Fira Sans"/>
          <w:b/>
          <w:sz w:val="22"/>
        </w:rPr>
        <w:t>Sus conocimientos sobre los diferentes comportamientos que conviene adoptar para preservar el equilibrio de la microbiota son pobres</w:t>
      </w:r>
      <w:r w:rsidRPr="00674381">
        <w:rPr>
          <w:rFonts w:ascii="Fira Sans" w:hAnsi="Fira Sans"/>
          <w:sz w:val="22"/>
        </w:rPr>
        <w:t xml:space="preserve">, pero están por encima de la media de los demás países (4,2/7 frente a 4/7 del total). Sin embargo, no los aplican realmente y forman parte de los que menos declaran </w:t>
      </w:r>
      <w:r>
        <w:rPr>
          <w:rFonts w:ascii="Fira Sans" w:hAnsi="Fira Sans"/>
          <w:sz w:val="22"/>
        </w:rPr>
        <w:t xml:space="preserve">haber adoptado </w:t>
      </w:r>
      <w:r w:rsidR="00FD6AB9">
        <w:rPr>
          <w:rFonts w:ascii="Fira Sans" w:hAnsi="Fira Sans"/>
          <w:sz w:val="22"/>
        </w:rPr>
        <w:t xml:space="preserve">nuevos </w:t>
      </w:r>
      <w:r w:rsidRPr="00674381">
        <w:rPr>
          <w:rFonts w:ascii="Fira Sans" w:hAnsi="Fira Sans"/>
          <w:sz w:val="22"/>
        </w:rPr>
        <w:t xml:space="preserve">comportamientos para mantener las microbiotas lo más equilibradas posible (54% </w:t>
      </w:r>
      <w:r w:rsidR="004266B2">
        <w:rPr>
          <w:rFonts w:ascii="Fira Sans" w:hAnsi="Fira Sans"/>
          <w:sz w:val="22"/>
        </w:rPr>
        <w:t>f</w:t>
      </w:r>
      <w:r w:rsidRPr="00674381">
        <w:rPr>
          <w:rFonts w:ascii="Fira Sans" w:hAnsi="Fira Sans"/>
          <w:sz w:val="22"/>
        </w:rPr>
        <w:t xml:space="preserve">rente al 57% del total). </w:t>
      </w:r>
    </w:p>
    <w:p w14:paraId="3FF6C25C" w14:textId="2B4922B7" w:rsidR="00674381" w:rsidRPr="00674381" w:rsidRDefault="00674381" w:rsidP="004266B2">
      <w:pPr>
        <w:pStyle w:val="NormalWeb"/>
        <w:numPr>
          <w:ilvl w:val="0"/>
          <w:numId w:val="6"/>
        </w:numPr>
        <w:spacing w:before="120" w:beforeAutospacing="0" w:after="0" w:afterAutospacing="0" w:line="276" w:lineRule="auto"/>
        <w:ind w:left="714" w:hanging="357"/>
        <w:jc w:val="both"/>
        <w:rPr>
          <w:rFonts w:ascii="Fira Sans" w:eastAsiaTheme="minorEastAsia" w:hAnsi="Fira Sans" w:cstheme="minorHAnsi"/>
          <w:sz w:val="22"/>
          <w:szCs w:val="22"/>
        </w:rPr>
      </w:pPr>
      <w:r w:rsidRPr="00674381">
        <w:rPr>
          <w:rFonts w:ascii="Fira Sans" w:hAnsi="Fira Sans"/>
          <w:b/>
          <w:sz w:val="22"/>
        </w:rPr>
        <w:t>Los españoles rara vez establecen la relación entre ciertos problemas de salud y la microbiota.</w:t>
      </w:r>
      <w:r w:rsidRPr="00674381">
        <w:rPr>
          <w:rFonts w:ascii="Fira Sans" w:hAnsi="Fira Sans"/>
          <w:sz w:val="22"/>
        </w:rPr>
        <w:t xml:space="preserve"> </w:t>
      </w:r>
      <w:r>
        <w:rPr>
          <w:rFonts w:ascii="Fira Sans" w:hAnsi="Fira Sans"/>
          <w:sz w:val="22"/>
        </w:rPr>
        <w:t>L</w:t>
      </w:r>
      <w:r w:rsidRPr="00674381">
        <w:rPr>
          <w:rFonts w:ascii="Fira Sans" w:hAnsi="Fira Sans"/>
          <w:sz w:val="22"/>
        </w:rPr>
        <w:t xml:space="preserve">a mayoría de los españoles </w:t>
      </w:r>
      <w:r>
        <w:rPr>
          <w:rFonts w:ascii="Fira Sans" w:hAnsi="Fira Sans"/>
          <w:sz w:val="22"/>
        </w:rPr>
        <w:t xml:space="preserve">solo </w:t>
      </w:r>
      <w:r w:rsidRPr="00674381">
        <w:rPr>
          <w:rFonts w:ascii="Fira Sans" w:hAnsi="Fira Sans"/>
          <w:sz w:val="22"/>
        </w:rPr>
        <w:t>relacionan con la microbiota</w:t>
      </w:r>
      <w:r>
        <w:rPr>
          <w:rFonts w:ascii="Fira Sans" w:hAnsi="Fira Sans"/>
          <w:sz w:val="22"/>
        </w:rPr>
        <w:t xml:space="preserve"> uno d</w:t>
      </w:r>
      <w:r w:rsidRPr="00674381">
        <w:rPr>
          <w:rFonts w:ascii="Fira Sans" w:hAnsi="Fira Sans"/>
          <w:sz w:val="22"/>
        </w:rPr>
        <w:t xml:space="preserve">e </w:t>
      </w:r>
      <w:r w:rsidRPr="00674381">
        <w:rPr>
          <w:rFonts w:ascii="Fira Sans" w:hAnsi="Fira Sans"/>
          <w:sz w:val="22"/>
          <w:szCs w:val="22"/>
        </w:rPr>
        <w:t>los 8 problemas médicos examinados</w:t>
      </w:r>
      <w:r>
        <w:rPr>
          <w:rFonts w:ascii="Fira Sans" w:hAnsi="Fira Sans"/>
          <w:sz w:val="22"/>
          <w:szCs w:val="22"/>
        </w:rPr>
        <w:t xml:space="preserve">, a saber, </w:t>
      </w:r>
      <w:r w:rsidRPr="00674381">
        <w:rPr>
          <w:rFonts w:ascii="Fira Sans" w:hAnsi="Fira Sans"/>
          <w:sz w:val="22"/>
          <w:szCs w:val="22"/>
        </w:rPr>
        <w:t xml:space="preserve">la diarrea </w:t>
      </w:r>
      <w:hyperlink r:id="rId8" w:tooltip="Diarrea asociada a los antibióticos" w:history="1">
        <w:r w:rsidRPr="00674381">
          <w:rPr>
            <w:rFonts w:ascii="Fira Sans" w:hAnsi="Fira Sans"/>
            <w:sz w:val="22"/>
            <w:szCs w:val="22"/>
          </w:rPr>
          <w:t>asociada con antibióticos</w:t>
        </w:r>
      </w:hyperlink>
      <w:r w:rsidRPr="00674381">
        <w:rPr>
          <w:rFonts w:ascii="Fira Sans" w:hAnsi="Fira Sans"/>
          <w:sz w:val="22"/>
          <w:szCs w:val="22"/>
        </w:rPr>
        <w:t xml:space="preserve"> (53%). </w:t>
      </w:r>
      <w:r>
        <w:rPr>
          <w:rFonts w:ascii="Fira Sans" w:hAnsi="Fira Sans"/>
          <w:sz w:val="22"/>
          <w:szCs w:val="22"/>
        </w:rPr>
        <w:t xml:space="preserve">La mayoría de </w:t>
      </w:r>
      <w:r w:rsidRPr="00674381">
        <w:rPr>
          <w:rFonts w:ascii="Fira Sans" w:hAnsi="Fira Sans"/>
          <w:sz w:val="22"/>
          <w:szCs w:val="22"/>
        </w:rPr>
        <w:t xml:space="preserve">los españoles </w:t>
      </w:r>
      <w:r>
        <w:rPr>
          <w:rFonts w:ascii="Fira Sans" w:hAnsi="Fira Sans"/>
          <w:sz w:val="22"/>
          <w:szCs w:val="22"/>
        </w:rPr>
        <w:t xml:space="preserve">no relacionan ninguno de los </w:t>
      </w:r>
      <w:r w:rsidRPr="00674381">
        <w:rPr>
          <w:rFonts w:ascii="Fira Sans" w:hAnsi="Fira Sans"/>
          <w:sz w:val="22"/>
          <w:szCs w:val="22"/>
        </w:rPr>
        <w:t>demás problemas de salud</w:t>
      </w:r>
      <w:r>
        <w:rPr>
          <w:rFonts w:ascii="Fira Sans" w:hAnsi="Fira Sans"/>
          <w:sz w:val="22"/>
          <w:szCs w:val="22"/>
        </w:rPr>
        <w:t xml:space="preserve"> </w:t>
      </w:r>
      <w:r w:rsidRPr="00674381">
        <w:rPr>
          <w:rFonts w:ascii="Fira Sans" w:hAnsi="Fira Sans"/>
          <w:sz w:val="22"/>
          <w:szCs w:val="22"/>
        </w:rPr>
        <w:t xml:space="preserve">con la microbiota. </w:t>
      </w:r>
      <w:r>
        <w:rPr>
          <w:rFonts w:ascii="Fira Sans" w:hAnsi="Fira Sans"/>
          <w:sz w:val="22"/>
          <w:szCs w:val="22"/>
        </w:rPr>
        <w:t xml:space="preserve">Esto sucede </w:t>
      </w:r>
      <w:r w:rsidRPr="00674381">
        <w:rPr>
          <w:rFonts w:ascii="Fira Sans" w:hAnsi="Fira Sans"/>
          <w:sz w:val="22"/>
          <w:szCs w:val="22"/>
        </w:rPr>
        <w:t>con las infecciones urogenitales (40%), los episodios de trastornos intestinales (46%)</w:t>
      </w:r>
      <w:r>
        <w:rPr>
          <w:rFonts w:ascii="Fira Sans" w:hAnsi="Fira Sans"/>
          <w:sz w:val="22"/>
          <w:szCs w:val="22"/>
        </w:rPr>
        <w:t>,</w:t>
      </w:r>
      <w:r w:rsidRPr="00674381">
        <w:rPr>
          <w:rFonts w:ascii="Fira Sans" w:hAnsi="Fira Sans"/>
          <w:sz w:val="22"/>
          <w:szCs w:val="22"/>
        </w:rPr>
        <w:t xml:space="preserve"> los trastornos del aparato digestivo (44%) y la gastroenteritis (solo el 34% la </w:t>
      </w:r>
      <w:r>
        <w:rPr>
          <w:rFonts w:ascii="Fira Sans" w:hAnsi="Fira Sans"/>
          <w:sz w:val="22"/>
          <w:szCs w:val="22"/>
        </w:rPr>
        <w:t>relacionan con la microbiota</w:t>
      </w:r>
      <w:r w:rsidRPr="00674381">
        <w:rPr>
          <w:rFonts w:ascii="Fira Sans" w:hAnsi="Fira Sans"/>
          <w:sz w:val="22"/>
          <w:szCs w:val="22"/>
        </w:rPr>
        <w:t xml:space="preserve">). </w:t>
      </w:r>
    </w:p>
    <w:p w14:paraId="0DEE0DFF" w14:textId="46534172" w:rsidR="00674381" w:rsidRPr="00674381" w:rsidRDefault="00674381" w:rsidP="004266B2">
      <w:pPr>
        <w:pStyle w:val="NormalWeb"/>
        <w:numPr>
          <w:ilvl w:val="0"/>
          <w:numId w:val="5"/>
        </w:numPr>
        <w:spacing w:before="120" w:beforeAutospacing="0" w:after="0" w:afterAutospacing="0" w:line="276" w:lineRule="auto"/>
        <w:ind w:left="714" w:hanging="357"/>
        <w:jc w:val="both"/>
        <w:rPr>
          <w:rFonts w:ascii="Fira Sans" w:eastAsiaTheme="minorEastAsia" w:hAnsi="Fira Sans" w:cstheme="minorHAnsi"/>
          <w:sz w:val="22"/>
          <w:szCs w:val="22"/>
        </w:rPr>
      </w:pPr>
      <w:r w:rsidRPr="00674381">
        <w:rPr>
          <w:rFonts w:ascii="Fira Sans" w:hAnsi="Fira Sans"/>
          <w:b/>
          <w:sz w:val="22"/>
        </w:rPr>
        <w:t xml:space="preserve">Sobre todo, los españoles rara vez hablan con los profesionales </w:t>
      </w:r>
      <w:r w:rsidR="00923110">
        <w:rPr>
          <w:rFonts w:ascii="Fira Sans" w:hAnsi="Fira Sans"/>
          <w:b/>
          <w:sz w:val="22"/>
        </w:rPr>
        <w:t xml:space="preserve">sanitarios </w:t>
      </w:r>
      <w:r w:rsidRPr="00674381">
        <w:rPr>
          <w:rFonts w:ascii="Fira Sans" w:hAnsi="Fira Sans"/>
          <w:b/>
          <w:sz w:val="22"/>
        </w:rPr>
        <w:t xml:space="preserve">sobre este tema, </w:t>
      </w:r>
      <w:r w:rsidRPr="00674381">
        <w:rPr>
          <w:rFonts w:ascii="Fira Sans" w:hAnsi="Fira Sans"/>
          <w:sz w:val="22"/>
        </w:rPr>
        <w:t xml:space="preserve">por ejemplo, declaran mucho menos que la media </w:t>
      </w:r>
      <w:r w:rsidR="00923110">
        <w:rPr>
          <w:rFonts w:ascii="Fira Sans" w:hAnsi="Fira Sans"/>
          <w:sz w:val="22"/>
        </w:rPr>
        <w:t xml:space="preserve">haber pedido </w:t>
      </w:r>
      <w:r w:rsidRPr="00674381">
        <w:rPr>
          <w:rFonts w:ascii="Fira Sans" w:hAnsi="Fira Sans"/>
          <w:sz w:val="22"/>
        </w:rPr>
        <w:t xml:space="preserve">a su médico </w:t>
      </w:r>
      <w:r w:rsidR="00923110">
        <w:rPr>
          <w:rFonts w:ascii="Fira Sans" w:hAnsi="Fira Sans"/>
          <w:sz w:val="22"/>
        </w:rPr>
        <w:t xml:space="preserve">que les recetara </w:t>
      </w:r>
      <w:r w:rsidRPr="00674381">
        <w:rPr>
          <w:rFonts w:ascii="Fira Sans" w:hAnsi="Fira Sans"/>
          <w:sz w:val="22"/>
        </w:rPr>
        <w:t>probióticos y prebióticos (36% frente al 46% del total), que les expli</w:t>
      </w:r>
      <w:r w:rsidR="00923110">
        <w:rPr>
          <w:rFonts w:ascii="Fira Sans" w:hAnsi="Fira Sans"/>
          <w:sz w:val="22"/>
        </w:rPr>
        <w:t xml:space="preserve">cara </w:t>
      </w:r>
      <w:r w:rsidRPr="00674381">
        <w:rPr>
          <w:rFonts w:ascii="Fira Sans" w:hAnsi="Fira Sans"/>
          <w:sz w:val="22"/>
        </w:rPr>
        <w:t>los comportamientos correctos para mantener el mejor equilibrio posible de la microbiota (33% frente al 44% del total) o que los sensibiliz</w:t>
      </w:r>
      <w:r w:rsidR="00923110">
        <w:rPr>
          <w:rFonts w:ascii="Fira Sans" w:hAnsi="Fira Sans"/>
          <w:sz w:val="22"/>
        </w:rPr>
        <w:t>ara</w:t>
      </w:r>
      <w:r w:rsidRPr="00674381">
        <w:rPr>
          <w:rFonts w:ascii="Fira Sans" w:hAnsi="Fira Sans"/>
          <w:sz w:val="22"/>
        </w:rPr>
        <w:t xml:space="preserve"> sobre la importancia de preservar al máximo el equilibrio de la microbiota (31% frente al 42% del total). </w:t>
      </w:r>
    </w:p>
    <w:p w14:paraId="6D09EA00" w14:textId="70EC4160" w:rsidR="00674381" w:rsidRPr="00674381" w:rsidRDefault="00674381" w:rsidP="004266B2">
      <w:pPr>
        <w:pStyle w:val="NormalWeb"/>
        <w:numPr>
          <w:ilvl w:val="0"/>
          <w:numId w:val="5"/>
        </w:numPr>
        <w:spacing w:before="120" w:beforeAutospacing="0" w:after="0" w:afterAutospacing="0" w:line="276" w:lineRule="auto"/>
        <w:ind w:left="714" w:hanging="357"/>
        <w:jc w:val="both"/>
        <w:rPr>
          <w:rFonts w:ascii="Fira Sans" w:eastAsiaTheme="minorEastAsia" w:hAnsi="Fira Sans" w:cstheme="minorHAnsi"/>
          <w:b/>
          <w:bCs/>
          <w:sz w:val="22"/>
          <w:szCs w:val="22"/>
        </w:rPr>
      </w:pPr>
      <w:r w:rsidRPr="00674381">
        <w:rPr>
          <w:rFonts w:ascii="Fira Sans" w:hAnsi="Fira Sans"/>
          <w:b/>
          <w:sz w:val="22"/>
        </w:rPr>
        <w:t xml:space="preserve">En España, la educación de los pacientes es actualmente un reto </w:t>
      </w:r>
      <w:r w:rsidR="00923110">
        <w:rPr>
          <w:rFonts w:ascii="Fira Sans" w:hAnsi="Fira Sans"/>
          <w:b/>
          <w:sz w:val="22"/>
        </w:rPr>
        <w:t xml:space="preserve">fundamental </w:t>
      </w:r>
      <w:r w:rsidRPr="00674381">
        <w:rPr>
          <w:rFonts w:ascii="Fira Sans" w:hAnsi="Fira Sans"/>
          <w:b/>
          <w:sz w:val="22"/>
        </w:rPr>
        <w:t xml:space="preserve">para enseñarles no solo el papel de la microbiota, sino también los comportamientos que deben adoptar para preservarla lo mejor posible, y esto </w:t>
      </w:r>
      <w:r w:rsidR="00923110">
        <w:rPr>
          <w:rFonts w:ascii="Fira Sans" w:hAnsi="Fira Sans"/>
          <w:b/>
          <w:sz w:val="22"/>
        </w:rPr>
        <w:t xml:space="preserve">incumbe </w:t>
      </w:r>
      <w:r w:rsidRPr="00674381">
        <w:rPr>
          <w:rFonts w:ascii="Fira Sans" w:hAnsi="Fira Sans"/>
          <w:b/>
          <w:sz w:val="22"/>
        </w:rPr>
        <w:t xml:space="preserve">en parte </w:t>
      </w:r>
      <w:r w:rsidR="00923110">
        <w:rPr>
          <w:rFonts w:ascii="Fira Sans" w:hAnsi="Fira Sans"/>
          <w:b/>
          <w:sz w:val="22"/>
        </w:rPr>
        <w:t xml:space="preserve">a </w:t>
      </w:r>
      <w:r w:rsidRPr="00674381">
        <w:rPr>
          <w:rFonts w:ascii="Fira Sans" w:hAnsi="Fira Sans"/>
          <w:b/>
          <w:sz w:val="22"/>
        </w:rPr>
        <w:t xml:space="preserve">los profesionales </w:t>
      </w:r>
      <w:r w:rsidR="00923110">
        <w:rPr>
          <w:rFonts w:ascii="Fira Sans" w:hAnsi="Fira Sans"/>
          <w:b/>
          <w:sz w:val="22"/>
        </w:rPr>
        <w:t>sanitarios</w:t>
      </w:r>
      <w:r w:rsidRPr="00674381">
        <w:rPr>
          <w:rFonts w:ascii="Fira Sans" w:hAnsi="Fira Sans"/>
          <w:b/>
          <w:sz w:val="22"/>
        </w:rPr>
        <w:t xml:space="preserve">. </w:t>
      </w:r>
    </w:p>
    <w:p w14:paraId="6F473632" w14:textId="77777777" w:rsidR="0030077A" w:rsidRDefault="0030077A">
      <w:pPr>
        <w:spacing w:line="240" w:lineRule="auto"/>
        <w:jc w:val="both"/>
        <w:rPr>
          <w:rFonts w:ascii="Fira Sans" w:eastAsia="Fira Sans" w:hAnsi="Fira Sans" w:cs="Fira Sans"/>
          <w:color w:val="200F40"/>
        </w:rPr>
      </w:pPr>
    </w:p>
    <w:p w14:paraId="6283BE82" w14:textId="77777777" w:rsidR="004266B2" w:rsidRDefault="004266B2">
      <w:pPr>
        <w:ind w:left="720"/>
        <w:rPr>
          <w:rFonts w:ascii="Fira Sans" w:hAnsi="Fira Sans"/>
          <w:b/>
          <w:color w:val="943B91"/>
        </w:rPr>
      </w:pPr>
    </w:p>
    <w:p w14:paraId="19F71F5E" w14:textId="69725715" w:rsidR="0030077A" w:rsidRDefault="00AE2834">
      <w:pPr>
        <w:ind w:left="720"/>
        <w:rPr>
          <w:rFonts w:ascii="Fira Sans" w:eastAsia="Fira Sans" w:hAnsi="Fira Sans" w:cs="Fira Sans"/>
          <w:color w:val="200F40"/>
        </w:rPr>
      </w:pPr>
      <w:r>
        <w:rPr>
          <w:rFonts w:ascii="Fira Sans" w:hAnsi="Fira Sans"/>
          <w:b/>
          <w:color w:val="943B91"/>
        </w:rPr>
        <w:lastRenderedPageBreak/>
        <w:t xml:space="preserve">Murielle </w:t>
      </w:r>
      <w:proofErr w:type="spellStart"/>
      <w:r>
        <w:rPr>
          <w:rFonts w:ascii="Fira Sans" w:hAnsi="Fira Sans"/>
          <w:b/>
          <w:color w:val="943B91"/>
        </w:rPr>
        <w:t>Escalmel</w:t>
      </w:r>
      <w:proofErr w:type="spellEnd"/>
      <w:r>
        <w:rPr>
          <w:rFonts w:ascii="Fira Sans" w:hAnsi="Fira Sans"/>
          <w:b/>
          <w:color w:val="943B91"/>
        </w:rPr>
        <w:t>, directora de Biocodex Microbiota Institute</w:t>
      </w:r>
      <w:r w:rsidR="009B3882">
        <w:rPr>
          <w:rFonts w:ascii="Fira Sans" w:hAnsi="Fira Sans"/>
          <w:b/>
          <w:color w:val="943B91"/>
        </w:rPr>
        <w:t>, declara</w:t>
      </w:r>
      <w:r>
        <w:rPr>
          <w:rFonts w:ascii="Fira Sans" w:hAnsi="Fira Sans"/>
          <w:b/>
          <w:color w:val="943B91"/>
        </w:rPr>
        <w:t>:</w:t>
      </w:r>
      <w:r>
        <w:rPr>
          <w:rFonts w:ascii="Fira Sans" w:hAnsi="Fira Sans"/>
          <w:color w:val="200F40"/>
        </w:rPr>
        <w:t xml:space="preserve"> </w:t>
      </w:r>
    </w:p>
    <w:p w14:paraId="21D72B71" w14:textId="0B129B96" w:rsidR="0030077A" w:rsidRPr="004266B2" w:rsidRDefault="00AE2834" w:rsidP="004266B2">
      <w:pPr>
        <w:ind w:left="720" w:right="-426"/>
        <w:rPr>
          <w:rFonts w:ascii="Fira Sans" w:eastAsia="Fira Sans" w:hAnsi="Fira Sans" w:cs="Fira Sans"/>
          <w:i/>
          <w:color w:val="200F40"/>
          <w:spacing w:val="-2"/>
        </w:rPr>
      </w:pPr>
      <w:r w:rsidRPr="004266B2">
        <w:rPr>
          <w:rFonts w:ascii="Fira Sans" w:hAnsi="Fira Sans"/>
          <w:i/>
          <w:iCs/>
          <w:spacing w:val="-2"/>
        </w:rPr>
        <w:t>«</w:t>
      </w:r>
      <w:r w:rsidRPr="004266B2">
        <w:rPr>
          <w:rFonts w:ascii="Fira Sans" w:hAnsi="Fira Sans"/>
          <w:i/>
          <w:iCs/>
          <w:color w:val="200F40"/>
          <w:spacing w:val="-2"/>
        </w:rPr>
        <w:t xml:space="preserve">Este Observatorio, el primero en su género, nos ofrece valiosas enseñanzas </w:t>
      </w:r>
      <w:r w:rsidR="007312B5" w:rsidRPr="004266B2">
        <w:rPr>
          <w:rFonts w:ascii="Fira Sans" w:hAnsi="Fira Sans"/>
          <w:i/>
          <w:iCs/>
          <w:color w:val="200F40"/>
          <w:spacing w:val="-2"/>
        </w:rPr>
        <w:t xml:space="preserve">no solo </w:t>
      </w:r>
      <w:r w:rsidRPr="004266B2">
        <w:rPr>
          <w:rFonts w:ascii="Fira Sans" w:hAnsi="Fira Sans"/>
          <w:i/>
          <w:iCs/>
          <w:color w:val="200F40"/>
          <w:spacing w:val="-2"/>
        </w:rPr>
        <w:t xml:space="preserve">sobre los conocimientos y comportamientos, </w:t>
      </w:r>
      <w:r w:rsidR="007312B5" w:rsidRPr="004266B2">
        <w:rPr>
          <w:rFonts w:ascii="Fira Sans" w:hAnsi="Fira Sans"/>
          <w:i/>
          <w:iCs/>
          <w:color w:val="200F40"/>
          <w:spacing w:val="-2"/>
        </w:rPr>
        <w:t xml:space="preserve">sino </w:t>
      </w:r>
      <w:r w:rsidRPr="004266B2">
        <w:rPr>
          <w:rFonts w:ascii="Fira Sans" w:hAnsi="Fira Sans"/>
          <w:i/>
          <w:iCs/>
          <w:color w:val="200F40"/>
          <w:spacing w:val="-2"/>
        </w:rPr>
        <w:t xml:space="preserve">también </w:t>
      </w:r>
      <w:r w:rsidR="007312B5" w:rsidRPr="004266B2">
        <w:rPr>
          <w:rFonts w:ascii="Fira Sans" w:hAnsi="Fira Sans"/>
          <w:i/>
          <w:iCs/>
          <w:color w:val="200F40"/>
          <w:spacing w:val="-2"/>
        </w:rPr>
        <w:t xml:space="preserve">sobre las </w:t>
      </w:r>
      <w:r w:rsidRPr="004266B2">
        <w:rPr>
          <w:rFonts w:ascii="Fira Sans" w:hAnsi="Fira Sans"/>
          <w:i/>
          <w:iCs/>
          <w:color w:val="200F40"/>
          <w:spacing w:val="-2"/>
        </w:rPr>
        <w:t>expectativas de las poblaciones mundiales sobre las microbiotas humanas.</w:t>
      </w:r>
      <w:r w:rsidRPr="004266B2">
        <w:rPr>
          <w:rFonts w:ascii="Fira Sans" w:hAnsi="Fira Sans"/>
          <w:i/>
          <w:color w:val="200F40"/>
          <w:spacing w:val="-2"/>
        </w:rPr>
        <w:t xml:space="preserve"> Recordemos también el papel clave que desempeñan los profesionales </w:t>
      </w:r>
      <w:r w:rsidR="004266B2" w:rsidRPr="004266B2">
        <w:rPr>
          <w:rFonts w:ascii="Fira Sans" w:hAnsi="Fira Sans"/>
          <w:i/>
          <w:color w:val="200F40"/>
          <w:spacing w:val="-2"/>
        </w:rPr>
        <w:t xml:space="preserve">sanitarios </w:t>
      </w:r>
      <w:r w:rsidRPr="004266B2">
        <w:rPr>
          <w:rFonts w:ascii="Fira Sans" w:hAnsi="Fira Sans"/>
          <w:i/>
          <w:color w:val="200F40"/>
          <w:spacing w:val="-2"/>
        </w:rPr>
        <w:t xml:space="preserve">en la sensibilización sobre los comportamientos correctos para cuidar las microbiotas. La encuesta demuestra que, </w:t>
      </w:r>
      <w:r w:rsidR="007312B5" w:rsidRPr="004266B2">
        <w:rPr>
          <w:rFonts w:ascii="Fira Sans" w:hAnsi="Fira Sans"/>
          <w:i/>
          <w:color w:val="200F40"/>
          <w:spacing w:val="-2"/>
        </w:rPr>
        <w:t xml:space="preserve">desde </w:t>
      </w:r>
      <w:r w:rsidRPr="004266B2">
        <w:rPr>
          <w:rFonts w:ascii="Fira Sans" w:hAnsi="Fira Sans"/>
          <w:i/>
          <w:color w:val="200F40"/>
          <w:spacing w:val="-2"/>
        </w:rPr>
        <w:t xml:space="preserve">que el paciente recibe la información </w:t>
      </w:r>
      <w:r w:rsidR="007312B5" w:rsidRPr="004266B2">
        <w:rPr>
          <w:rFonts w:ascii="Fira Sans" w:hAnsi="Fira Sans"/>
          <w:i/>
          <w:color w:val="200F40"/>
          <w:spacing w:val="-2"/>
        </w:rPr>
        <w:t xml:space="preserve">completa del </w:t>
      </w:r>
      <w:r w:rsidRPr="004266B2">
        <w:rPr>
          <w:rFonts w:ascii="Fira Sans" w:hAnsi="Fira Sans"/>
          <w:i/>
          <w:color w:val="200F40"/>
          <w:spacing w:val="-2"/>
        </w:rPr>
        <w:t xml:space="preserve">profesional </w:t>
      </w:r>
      <w:r w:rsidR="007312B5" w:rsidRPr="004266B2">
        <w:rPr>
          <w:rFonts w:ascii="Fira Sans" w:hAnsi="Fira Sans"/>
          <w:i/>
          <w:color w:val="200F40"/>
          <w:spacing w:val="-2"/>
        </w:rPr>
        <w:t>sanitario</w:t>
      </w:r>
      <w:r w:rsidRPr="004266B2">
        <w:rPr>
          <w:rFonts w:ascii="Fira Sans" w:hAnsi="Fira Sans"/>
          <w:i/>
          <w:color w:val="200F40"/>
          <w:spacing w:val="-2"/>
        </w:rPr>
        <w:t>, su relación con la microbiota cambia. Mejor</w:t>
      </w:r>
      <w:r w:rsidR="007312B5" w:rsidRPr="004266B2">
        <w:rPr>
          <w:rFonts w:ascii="Fira Sans" w:hAnsi="Fira Sans"/>
          <w:i/>
          <w:color w:val="200F40"/>
          <w:spacing w:val="-2"/>
        </w:rPr>
        <w:t xml:space="preserve"> aún</w:t>
      </w:r>
      <w:r w:rsidRPr="004266B2">
        <w:rPr>
          <w:rFonts w:ascii="Fira Sans" w:hAnsi="Fira Sans"/>
          <w:i/>
          <w:color w:val="200F40"/>
          <w:spacing w:val="-2"/>
        </w:rPr>
        <w:t xml:space="preserve">, </w:t>
      </w:r>
      <w:r w:rsidR="007312B5" w:rsidRPr="004266B2">
        <w:rPr>
          <w:rFonts w:ascii="Fira Sans" w:hAnsi="Fira Sans"/>
          <w:i/>
          <w:color w:val="200F40"/>
          <w:spacing w:val="-2"/>
        </w:rPr>
        <w:t xml:space="preserve">esta información </w:t>
      </w:r>
      <w:r w:rsidRPr="004266B2">
        <w:rPr>
          <w:rFonts w:ascii="Fira Sans" w:hAnsi="Fira Sans"/>
          <w:i/>
          <w:color w:val="200F40"/>
          <w:spacing w:val="-2"/>
        </w:rPr>
        <w:t xml:space="preserve">desencadena </w:t>
      </w:r>
      <w:r w:rsidR="00FD6AB9">
        <w:rPr>
          <w:rFonts w:ascii="Fira Sans" w:hAnsi="Fira Sans"/>
          <w:i/>
          <w:color w:val="200F40"/>
          <w:spacing w:val="-2"/>
        </w:rPr>
        <w:t xml:space="preserve">la adopción de nuevos </w:t>
      </w:r>
      <w:r w:rsidRPr="004266B2">
        <w:rPr>
          <w:rFonts w:ascii="Fira Sans" w:hAnsi="Fira Sans"/>
          <w:i/>
          <w:color w:val="200F40"/>
          <w:spacing w:val="-2"/>
        </w:rPr>
        <w:t>comportamientos adecuados. Por lo tanto, conviene reforzar el apoyo a los</w:t>
      </w:r>
      <w:r w:rsidR="004266B2">
        <w:rPr>
          <w:rFonts w:ascii="Fira Sans" w:hAnsi="Fira Sans"/>
          <w:i/>
          <w:color w:val="200F40"/>
          <w:spacing w:val="-2"/>
        </w:rPr>
        <w:t xml:space="preserve"> </w:t>
      </w:r>
      <w:r w:rsidRPr="004266B2">
        <w:rPr>
          <w:rFonts w:ascii="Fira Sans" w:hAnsi="Fira Sans"/>
          <w:i/>
          <w:color w:val="200F40"/>
          <w:spacing w:val="-2"/>
        </w:rPr>
        <w:t xml:space="preserve">profesionales </w:t>
      </w:r>
      <w:r w:rsidR="007312B5" w:rsidRPr="004266B2">
        <w:rPr>
          <w:rFonts w:ascii="Fira Sans" w:hAnsi="Fira Sans"/>
          <w:i/>
          <w:color w:val="200F40"/>
          <w:spacing w:val="-2"/>
        </w:rPr>
        <w:t xml:space="preserve">sanitarios </w:t>
      </w:r>
      <w:r w:rsidRPr="004266B2">
        <w:rPr>
          <w:rFonts w:ascii="Fira Sans" w:hAnsi="Fira Sans"/>
          <w:i/>
          <w:color w:val="200F40"/>
          <w:spacing w:val="-2"/>
        </w:rPr>
        <w:t>para que la microbiota forme parte del control de los</w:t>
      </w:r>
      <w:r w:rsidR="004266B2">
        <w:rPr>
          <w:rFonts w:ascii="Fira Sans" w:hAnsi="Fira Sans"/>
          <w:i/>
          <w:color w:val="200F40"/>
          <w:spacing w:val="-2"/>
        </w:rPr>
        <w:t xml:space="preserve"> </w:t>
      </w:r>
      <w:r w:rsidRPr="004266B2">
        <w:rPr>
          <w:rFonts w:ascii="Fira Sans" w:hAnsi="Fira Sans"/>
          <w:i/>
          <w:color w:val="200F40"/>
          <w:spacing w:val="-2"/>
        </w:rPr>
        <w:t xml:space="preserve">pacientes».   </w:t>
      </w:r>
    </w:p>
    <w:p w14:paraId="506B7064" w14:textId="77777777" w:rsidR="0030077A" w:rsidRDefault="0030077A">
      <w:pPr>
        <w:rPr>
          <w:rFonts w:ascii="Fira Sans" w:eastAsia="Fira Sans" w:hAnsi="Fira Sans" w:cs="Fira Sans"/>
          <w:color w:val="200F40"/>
        </w:rPr>
      </w:pPr>
    </w:p>
    <w:p w14:paraId="44C379A7" w14:textId="5A81BB03" w:rsidR="0030077A" w:rsidRDefault="00AE2834">
      <w:pPr>
        <w:spacing w:line="240" w:lineRule="auto"/>
        <w:jc w:val="center"/>
        <w:rPr>
          <w:rFonts w:ascii="Fira Sans" w:eastAsia="Fira Sans" w:hAnsi="Fira Sans" w:cs="Fira Sans"/>
          <w:b/>
          <w:color w:val="200F40"/>
          <w:sz w:val="24"/>
          <w:szCs w:val="24"/>
        </w:rPr>
      </w:pPr>
      <w:r>
        <w:rPr>
          <w:rFonts w:ascii="Fira Sans" w:hAnsi="Fira Sans"/>
          <w:b/>
          <w:color w:val="200F40"/>
          <w:sz w:val="24"/>
        </w:rPr>
        <w:t>Descubra los resultados del Observatorio Internacional de las Microbiotas en:</w:t>
      </w:r>
    </w:p>
    <w:p w14:paraId="1A1EE6E5" w14:textId="77777777" w:rsidR="0030077A" w:rsidRDefault="0030077A">
      <w:pPr>
        <w:spacing w:line="240" w:lineRule="auto"/>
        <w:jc w:val="center"/>
        <w:rPr>
          <w:rFonts w:ascii="Fira Sans" w:eastAsia="Fira Sans" w:hAnsi="Fira Sans" w:cs="Fira Sans"/>
          <w:b/>
          <w:color w:val="200F40"/>
        </w:rPr>
      </w:pPr>
    </w:p>
    <w:p w14:paraId="2E8C8FE5" w14:textId="5D31F345" w:rsidR="0030077A" w:rsidRPr="00AE2834" w:rsidRDefault="00AE2834">
      <w:pPr>
        <w:jc w:val="center"/>
        <w:rPr>
          <w:rFonts w:ascii="Fira Sans" w:eastAsia="Fira Sans" w:hAnsi="Fira Sans" w:cs="Fira Sans"/>
          <w:color w:val="FF0000"/>
          <w:sz w:val="20"/>
          <w:szCs w:val="20"/>
          <w:u w:val="single"/>
        </w:rPr>
      </w:pPr>
      <w:r>
        <w:rPr>
          <w:rFonts w:ascii="Fira Sans" w:hAnsi="Fira Sans"/>
          <w:color w:val="943B91"/>
        </w:rPr>
        <w:t xml:space="preserve">→ </w:t>
      </w:r>
      <w:hyperlink r:id="rId9" w:history="1">
        <w:r>
          <w:rPr>
            <w:rFonts w:ascii="Fira Sans" w:hAnsi="Fira Sans"/>
            <w:color w:val="943B91"/>
            <w:sz w:val="20"/>
            <w:u w:val="single"/>
          </w:rPr>
          <w:t>www.international-microbiota-observatory.com</w:t>
        </w:r>
      </w:hyperlink>
    </w:p>
    <w:p w14:paraId="026B9DFF" w14:textId="77777777" w:rsidR="00AE2834" w:rsidRDefault="00AE2834">
      <w:pPr>
        <w:jc w:val="center"/>
        <w:rPr>
          <w:rFonts w:ascii="Fira Sans" w:eastAsia="Fira Sans" w:hAnsi="Fira Sans" w:cs="Fira Sans"/>
          <w:color w:val="FF0000"/>
        </w:rPr>
      </w:pPr>
    </w:p>
    <w:p w14:paraId="61792094" w14:textId="39889F29" w:rsidR="0030077A" w:rsidRDefault="00822262">
      <w:pPr>
        <w:rPr>
          <w:rFonts w:ascii="Fira Sans" w:eastAsia="Fira Sans" w:hAnsi="Fira Sans" w:cs="Fira Sans"/>
          <w:b/>
          <w:color w:val="943B91"/>
          <w:sz w:val="24"/>
          <w:szCs w:val="24"/>
        </w:rPr>
      </w:pPr>
      <w:r>
        <w:rPr>
          <w:rFonts w:ascii="Fira Sans" w:hAnsi="Fira Sans"/>
          <w:b/>
          <w:color w:val="943B91"/>
          <w:sz w:val="24"/>
        </w:rPr>
        <w:t xml:space="preserve">Acerca del </w:t>
      </w:r>
      <w:r w:rsidR="00AE2834">
        <w:rPr>
          <w:rFonts w:ascii="Fira Sans" w:hAnsi="Fira Sans"/>
          <w:b/>
          <w:color w:val="943B91"/>
          <w:sz w:val="24"/>
        </w:rPr>
        <w:t>Biocodex Microbiota Institute</w:t>
      </w:r>
    </w:p>
    <w:p w14:paraId="6DBBB8B9" w14:textId="324433E9" w:rsidR="0030077A" w:rsidRDefault="00822262" w:rsidP="00822262">
      <w:pPr>
        <w:ind w:right="-142"/>
        <w:rPr>
          <w:rFonts w:ascii="Fira Sans" w:hAnsi="Fira Sans"/>
          <w:color w:val="200F40"/>
        </w:rPr>
      </w:pPr>
      <w:r w:rsidRPr="00822262">
        <w:rPr>
          <w:rFonts w:ascii="Fira Sans" w:hAnsi="Fira Sans"/>
          <w:color w:val="200F40"/>
        </w:rPr>
        <w:t xml:space="preserve">El </w:t>
      </w:r>
      <w:r>
        <w:rPr>
          <w:rFonts w:ascii="Fira Sans" w:hAnsi="Fira Sans"/>
          <w:color w:val="200F40"/>
        </w:rPr>
        <w:t xml:space="preserve">Biocodex </w:t>
      </w:r>
      <w:r w:rsidRPr="00822262">
        <w:rPr>
          <w:rFonts w:ascii="Fira Sans" w:hAnsi="Fira Sans"/>
          <w:color w:val="200F40"/>
        </w:rPr>
        <w:t xml:space="preserve">Microbiota </w:t>
      </w:r>
      <w:r>
        <w:rPr>
          <w:rFonts w:ascii="Fira Sans" w:hAnsi="Fira Sans"/>
          <w:color w:val="200F40"/>
        </w:rPr>
        <w:t xml:space="preserve">Institute </w:t>
      </w:r>
      <w:r w:rsidRPr="00822262">
        <w:rPr>
          <w:rFonts w:ascii="Fira Sans" w:hAnsi="Fira Sans"/>
          <w:color w:val="200F40"/>
        </w:rPr>
        <w:t>es un centro internacional de conocimiento</w:t>
      </w:r>
      <w:r>
        <w:rPr>
          <w:rFonts w:ascii="Fira Sans" w:hAnsi="Fira Sans"/>
          <w:color w:val="200F40"/>
        </w:rPr>
        <w:t>s</w:t>
      </w:r>
      <w:r w:rsidRPr="00822262">
        <w:rPr>
          <w:rFonts w:ascii="Fira Sans" w:hAnsi="Fira Sans"/>
          <w:color w:val="200F40"/>
        </w:rPr>
        <w:t xml:space="preserve"> cuyo objetivo es </w:t>
      </w:r>
      <w:r>
        <w:rPr>
          <w:rFonts w:ascii="Fira Sans" w:hAnsi="Fira Sans"/>
          <w:color w:val="200F40"/>
        </w:rPr>
        <w:t xml:space="preserve">la promoción de la </w:t>
      </w:r>
      <w:r w:rsidRPr="00822262">
        <w:rPr>
          <w:rFonts w:ascii="Fira Sans" w:hAnsi="Fira Sans"/>
          <w:color w:val="200F40"/>
        </w:rPr>
        <w:t xml:space="preserve">salud mediante la comunicación sobre la microbiota humana. Para ello, se dirige a los profesionales </w:t>
      </w:r>
      <w:r>
        <w:rPr>
          <w:rFonts w:ascii="Fira Sans" w:hAnsi="Fira Sans"/>
          <w:color w:val="200F40"/>
        </w:rPr>
        <w:t xml:space="preserve">sanitarios </w:t>
      </w:r>
      <w:r w:rsidRPr="00822262">
        <w:rPr>
          <w:rFonts w:ascii="Fira Sans" w:hAnsi="Fira Sans"/>
          <w:color w:val="200F40"/>
        </w:rPr>
        <w:t>y al público en general con el fin de concienciarlos sobre el papel fundamental que desempeña este órgano tan poco conocido.</w:t>
      </w:r>
    </w:p>
    <w:p w14:paraId="2EA19D3C" w14:textId="77777777" w:rsidR="00822262" w:rsidRDefault="00822262" w:rsidP="00822262">
      <w:pPr>
        <w:ind w:right="-142"/>
        <w:rPr>
          <w:rFonts w:ascii="Fira Sans" w:eastAsia="Fira Sans" w:hAnsi="Fira Sans" w:cs="Fira Sans"/>
          <w:color w:val="200F40"/>
        </w:rPr>
      </w:pPr>
    </w:p>
    <w:p w14:paraId="6FF573EB" w14:textId="0AB044E3" w:rsidR="0030077A" w:rsidRPr="00AE2834" w:rsidRDefault="00AE2834" w:rsidP="00AE2834">
      <w:pPr>
        <w:jc w:val="center"/>
        <w:rPr>
          <w:rFonts w:ascii="Fira Sans" w:eastAsia="Fira Sans" w:hAnsi="Fira Sans" w:cs="Fira Sans"/>
          <w:color w:val="943B91"/>
          <w:sz w:val="20"/>
          <w:szCs w:val="20"/>
        </w:rPr>
      </w:pPr>
      <w:r>
        <w:rPr>
          <w:rFonts w:ascii="Fira Sans" w:hAnsi="Fira Sans"/>
          <w:color w:val="943B91"/>
        </w:rPr>
        <w:t xml:space="preserve">→ </w:t>
      </w:r>
      <w:hyperlink r:id="rId10">
        <w:r>
          <w:rPr>
            <w:rFonts w:ascii="Fira Sans" w:hAnsi="Fira Sans"/>
            <w:color w:val="943B91"/>
            <w:sz w:val="20"/>
            <w:u w:val="single"/>
          </w:rPr>
          <w:t>www.biocodexmicrobiotainstitute.com/fr</w:t>
        </w:r>
      </w:hyperlink>
      <w:r>
        <w:rPr>
          <w:rFonts w:ascii="Fira Sans" w:hAnsi="Fira Sans"/>
          <w:color w:val="943B91"/>
          <w:sz w:val="20"/>
        </w:rPr>
        <w:t xml:space="preserve"> </w:t>
      </w:r>
    </w:p>
    <w:p w14:paraId="6209BDE8" w14:textId="77777777" w:rsidR="0030077A" w:rsidRDefault="0030077A">
      <w:pPr>
        <w:rPr>
          <w:rFonts w:ascii="Fira Sans" w:eastAsia="Fira Sans" w:hAnsi="Fira Sans" w:cs="Fira Sans"/>
        </w:rPr>
      </w:pPr>
    </w:p>
    <w:p w14:paraId="2AC76624" w14:textId="77777777" w:rsidR="0030077A" w:rsidRDefault="00AE2834" w:rsidP="00AE2834">
      <w:pPr>
        <w:jc w:val="center"/>
        <w:rPr>
          <w:rFonts w:ascii="Fira Sans" w:eastAsia="Fira Sans" w:hAnsi="Fira Sans" w:cs="Fira Sans"/>
        </w:rPr>
      </w:pPr>
      <w:r>
        <w:rPr>
          <w:rFonts w:ascii="Fira Sans" w:hAnsi="Fira Sans"/>
          <w:noProof/>
          <w:color w:val="200F40"/>
        </w:rPr>
        <w:drawing>
          <wp:inline distT="114300" distB="114300" distL="114300" distR="114300" wp14:anchorId="210367D6" wp14:editId="2771E9C7">
            <wp:extent cx="1005840" cy="1043940"/>
            <wp:effectExtent l="0" t="0" r="3810" b="3810"/>
            <wp:docPr id="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006221" cy="1044335"/>
                    </a:xfrm>
                    <a:prstGeom prst="rect">
                      <a:avLst/>
                    </a:prstGeom>
                    <a:ln/>
                  </pic:spPr>
                </pic:pic>
              </a:graphicData>
            </a:graphic>
          </wp:inline>
        </w:drawing>
      </w:r>
    </w:p>
    <w:p w14:paraId="0CCD85F4" w14:textId="77777777" w:rsidR="0030077A" w:rsidRDefault="0030077A">
      <w:pPr>
        <w:jc w:val="right"/>
        <w:rPr>
          <w:rFonts w:ascii="Fira Sans" w:eastAsia="Fira Sans" w:hAnsi="Fira Sans" w:cs="Fira Sans"/>
          <w:b/>
          <w:color w:val="200F40"/>
          <w:sz w:val="20"/>
          <w:szCs w:val="20"/>
        </w:rPr>
      </w:pPr>
    </w:p>
    <w:p w14:paraId="43988B27" w14:textId="77777777" w:rsidR="0030077A" w:rsidRDefault="00AE2834">
      <w:pPr>
        <w:jc w:val="right"/>
        <w:rPr>
          <w:rFonts w:ascii="Fira Sans" w:eastAsia="Fira Sans" w:hAnsi="Fira Sans" w:cs="Fira Sans"/>
          <w:color w:val="200F40"/>
          <w:sz w:val="20"/>
          <w:szCs w:val="20"/>
        </w:rPr>
      </w:pPr>
      <w:r>
        <w:rPr>
          <w:rFonts w:ascii="Fira Sans" w:hAnsi="Fira Sans"/>
          <w:b/>
          <w:color w:val="200F40"/>
          <w:sz w:val="20"/>
        </w:rPr>
        <w:t>Contacto de prensa Biocodex Microbiota Institute</w:t>
      </w:r>
    </w:p>
    <w:p w14:paraId="4E1F22C5" w14:textId="77777777" w:rsidR="0030077A" w:rsidRDefault="00AE2834">
      <w:pPr>
        <w:jc w:val="right"/>
        <w:rPr>
          <w:rFonts w:ascii="Fira Sans" w:eastAsia="Fira Sans" w:hAnsi="Fira Sans" w:cs="Fira Sans"/>
          <w:color w:val="200F40"/>
          <w:sz w:val="20"/>
          <w:szCs w:val="20"/>
        </w:rPr>
      </w:pPr>
      <w:r>
        <w:rPr>
          <w:rFonts w:ascii="Fira Sans" w:hAnsi="Fira Sans"/>
          <w:color w:val="200F40"/>
          <w:sz w:val="20"/>
        </w:rPr>
        <w:t xml:space="preserve">Olivier Valcke, relaciones públicas y responsable editorial </w:t>
      </w:r>
    </w:p>
    <w:p w14:paraId="1B85C3F9" w14:textId="77777777" w:rsidR="0030077A" w:rsidRDefault="00AE2834">
      <w:pPr>
        <w:jc w:val="right"/>
        <w:rPr>
          <w:rFonts w:ascii="Fira Sans" w:eastAsia="Fira Sans" w:hAnsi="Fira Sans" w:cs="Fira Sans"/>
          <w:color w:val="200F40"/>
          <w:sz w:val="20"/>
          <w:szCs w:val="20"/>
        </w:rPr>
      </w:pPr>
      <w:r>
        <w:rPr>
          <w:rFonts w:ascii="Fira Sans" w:hAnsi="Fira Sans"/>
          <w:color w:val="200F40"/>
          <w:sz w:val="20"/>
        </w:rPr>
        <w:t>+33 6 43 61 32 58</w:t>
      </w:r>
    </w:p>
    <w:p w14:paraId="75BBEA37" w14:textId="77777777" w:rsidR="0030077A" w:rsidRDefault="00AE2834">
      <w:pPr>
        <w:jc w:val="right"/>
        <w:rPr>
          <w:rFonts w:ascii="Fira Sans" w:eastAsia="Fira Sans" w:hAnsi="Fira Sans" w:cs="Fira Sans"/>
          <w:color w:val="943B91"/>
          <w:sz w:val="20"/>
          <w:szCs w:val="20"/>
          <w:u w:val="single"/>
        </w:rPr>
      </w:pPr>
      <w:r>
        <w:rPr>
          <w:rFonts w:ascii="Fira Sans" w:hAnsi="Fira Sans"/>
          <w:color w:val="943B91"/>
          <w:sz w:val="20"/>
        </w:rPr>
        <w:t xml:space="preserve">→ </w:t>
      </w:r>
      <w:hyperlink r:id="rId12">
        <w:r>
          <w:rPr>
            <w:rFonts w:ascii="Fira Sans" w:hAnsi="Fira Sans"/>
            <w:color w:val="943B91"/>
            <w:sz w:val="20"/>
            <w:u w:val="single"/>
          </w:rPr>
          <w:t>o.valcke@biocodex.com</w:t>
        </w:r>
      </w:hyperlink>
    </w:p>
    <w:p w14:paraId="45153A1D" w14:textId="31EC48B2" w:rsidR="0030077A" w:rsidRDefault="0030077A">
      <w:pPr>
        <w:jc w:val="right"/>
        <w:rPr>
          <w:rFonts w:ascii="Fira Sans" w:eastAsia="Fira Sans" w:hAnsi="Fira Sans" w:cs="Fira Sans"/>
          <w:color w:val="200F40"/>
          <w:sz w:val="20"/>
          <w:szCs w:val="20"/>
          <w:u w:val="single"/>
        </w:rPr>
      </w:pPr>
    </w:p>
    <w:p w14:paraId="5A63475F" w14:textId="77777777" w:rsidR="0030077A" w:rsidRDefault="00AE2834">
      <w:pPr>
        <w:jc w:val="right"/>
        <w:rPr>
          <w:rFonts w:ascii="Fira Sans" w:eastAsia="Fira Sans" w:hAnsi="Fira Sans" w:cs="Fira Sans"/>
          <w:color w:val="200F40"/>
          <w:sz w:val="20"/>
          <w:szCs w:val="20"/>
        </w:rPr>
      </w:pPr>
      <w:r>
        <w:rPr>
          <w:rFonts w:ascii="Fira Sans" w:hAnsi="Fira Sans"/>
          <w:b/>
          <w:color w:val="200F40"/>
          <w:sz w:val="20"/>
        </w:rPr>
        <w:t>Contacto de prensa Ipsos</w:t>
      </w:r>
    </w:p>
    <w:p w14:paraId="2DB5E360" w14:textId="3B0ACD11" w:rsidR="0030077A" w:rsidRDefault="00AE2834">
      <w:pPr>
        <w:jc w:val="right"/>
        <w:rPr>
          <w:rFonts w:ascii="Fira Sans" w:eastAsia="Fira Sans" w:hAnsi="Fira Sans" w:cs="Fira Sans"/>
          <w:color w:val="200F40"/>
          <w:sz w:val="20"/>
          <w:szCs w:val="20"/>
        </w:rPr>
      </w:pPr>
      <w:r>
        <w:rPr>
          <w:rFonts w:ascii="Fira Sans" w:hAnsi="Fira Sans"/>
          <w:color w:val="200F40"/>
          <w:sz w:val="20"/>
        </w:rPr>
        <w:t xml:space="preserve">Etienne Mercier, director </w:t>
      </w:r>
      <w:r w:rsidR="00822262">
        <w:rPr>
          <w:rFonts w:ascii="Fira Sans" w:hAnsi="Fira Sans"/>
          <w:color w:val="200F40"/>
          <w:sz w:val="20"/>
        </w:rPr>
        <w:t xml:space="preserve">de la división </w:t>
      </w:r>
      <w:r>
        <w:rPr>
          <w:rFonts w:ascii="Fira Sans" w:hAnsi="Fira Sans"/>
          <w:color w:val="200F40"/>
          <w:sz w:val="20"/>
        </w:rPr>
        <w:t xml:space="preserve">Opinión y Salud – Ipsos </w:t>
      </w:r>
    </w:p>
    <w:p w14:paraId="35E0A7E0" w14:textId="77777777" w:rsidR="0030077A" w:rsidRDefault="00AE2834">
      <w:pPr>
        <w:jc w:val="right"/>
        <w:rPr>
          <w:rFonts w:ascii="Fira Sans" w:eastAsia="Fira Sans" w:hAnsi="Fira Sans" w:cs="Fira Sans"/>
          <w:color w:val="200F40"/>
          <w:sz w:val="20"/>
          <w:szCs w:val="20"/>
        </w:rPr>
      </w:pPr>
      <w:r>
        <w:rPr>
          <w:rFonts w:ascii="Fira Sans" w:hAnsi="Fira Sans"/>
          <w:color w:val="200F40"/>
          <w:sz w:val="20"/>
        </w:rPr>
        <w:t>+33 6 23 05 05 17</w:t>
      </w:r>
    </w:p>
    <w:p w14:paraId="06951997" w14:textId="77777777" w:rsidR="0030077A" w:rsidRDefault="00AE2834">
      <w:pPr>
        <w:jc w:val="right"/>
        <w:rPr>
          <w:rFonts w:ascii="Fira Sans" w:eastAsia="Fira Sans" w:hAnsi="Fira Sans" w:cs="Fira Sans"/>
          <w:color w:val="200F40"/>
          <w:sz w:val="20"/>
          <w:szCs w:val="20"/>
        </w:rPr>
      </w:pPr>
      <w:r>
        <w:rPr>
          <w:rFonts w:ascii="Fira Sans" w:hAnsi="Fira Sans"/>
          <w:color w:val="943B91"/>
          <w:sz w:val="20"/>
        </w:rPr>
        <w:t xml:space="preserve">→ </w:t>
      </w:r>
      <w:hyperlink r:id="rId13">
        <w:r>
          <w:rPr>
            <w:rFonts w:ascii="Fira Sans" w:hAnsi="Fira Sans"/>
            <w:color w:val="943B91"/>
            <w:sz w:val="20"/>
            <w:u w:val="single"/>
          </w:rPr>
          <w:t>etienne.</w:t>
        </w:r>
      </w:hyperlink>
      <w:r>
        <w:rPr>
          <w:rFonts w:ascii="Fira Sans" w:hAnsi="Fira Sans"/>
          <w:color w:val="943B91"/>
          <w:sz w:val="20"/>
          <w:u w:val="single"/>
        </w:rPr>
        <w:t>mercier@ipsos.com</w:t>
      </w:r>
    </w:p>
    <w:sectPr w:rsidR="0030077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5D16D" w14:textId="77777777" w:rsidR="00B55E0B" w:rsidRDefault="00B55E0B">
      <w:pPr>
        <w:spacing w:line="240" w:lineRule="auto"/>
      </w:pPr>
      <w:r>
        <w:separator/>
      </w:r>
    </w:p>
  </w:endnote>
  <w:endnote w:type="continuationSeparator" w:id="0">
    <w:p w14:paraId="29715234" w14:textId="77777777" w:rsidR="00B55E0B" w:rsidRDefault="00B55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Calibri"/>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inci Sans Medium">
    <w:panose1 w:val="00000000000000000000"/>
    <w:charset w:val="00"/>
    <w:family w:val="modern"/>
    <w:notTrueType/>
    <w:pitch w:val="variable"/>
    <w:sig w:usb0="A00000AF" w:usb1="4000205B" w:usb2="00000000" w:usb3="00000000" w:csb0="0000009B" w:csb1="00000000"/>
  </w:font>
  <w:font w:name="Georgia">
    <w:panose1 w:val="02040502050405020303"/>
    <w:charset w:val="00"/>
    <w:family w:val="roman"/>
    <w:pitch w:val="variable"/>
    <w:sig w:usb0="00000287" w:usb1="00000000" w:usb2="00000000" w:usb3="00000000" w:csb0="0000009F" w:csb1="00000000"/>
  </w:font>
  <w:font w:name="Fira Sans Medium">
    <w:altName w:val="Calibri"/>
    <w:charset w:val="00"/>
    <w:family w:val="swiss"/>
    <w:pitch w:val="variable"/>
    <w:sig w:usb0="600002FF" w:usb1="00000001" w:usb2="00000000" w:usb3="00000000" w:csb0="0000019F" w:csb1="00000000"/>
  </w:font>
  <w:font w:name="Fira Sans SemiBold">
    <w:altName w:val="Calibri"/>
    <w:charset w:val="00"/>
    <w:family w:val="swiss"/>
    <w:pitch w:val="variable"/>
    <w:sig w:usb0="600002FF" w:usb1="00000001" w:usb2="00000000" w:usb3="00000000" w:csb0="0000019F" w:csb1="00000000"/>
  </w:font>
  <w:font w:name="Fira Sans ExtraBold">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D76B" w14:textId="77777777" w:rsidR="00232703" w:rsidRDefault="002327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C7AB" w14:textId="77777777" w:rsidR="0030077A" w:rsidRDefault="0030077A">
    <w:pPr>
      <w:tabs>
        <w:tab w:val="center" w:pos="4536"/>
        <w:tab w:val="right" w:pos="9072"/>
      </w:tabs>
      <w:spacing w:line="240" w:lineRule="auto"/>
      <w:rPr>
        <w:b/>
        <w:sz w:val="28"/>
        <w:szCs w:val="28"/>
      </w:rPr>
    </w:pPr>
  </w:p>
  <w:p w14:paraId="0699B767" w14:textId="77777777" w:rsidR="0030077A" w:rsidRDefault="00AE2834">
    <w:pPr>
      <w:tabs>
        <w:tab w:val="center" w:pos="4536"/>
        <w:tab w:val="right" w:pos="9072"/>
      </w:tabs>
      <w:spacing w:line="240" w:lineRule="auto"/>
    </w:pPr>
    <w:r>
      <w:rPr>
        <w:b/>
        <w:sz w:val="28"/>
      </w:rPr>
      <w:br/>
    </w:r>
    <w:r>
      <w:rPr>
        <w:noProof/>
      </w:rPr>
      <w:drawing>
        <wp:inline distT="0" distB="0" distL="0" distR="0" wp14:anchorId="0E0637DB" wp14:editId="1F9997DD">
          <wp:extent cx="1258976" cy="375347"/>
          <wp:effectExtent l="0" t="0" r="0" b="0"/>
          <wp:docPr id="51" name="image1.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10;&#10;Description générée automatiquement"/>
                  <pic:cNvPicPr preferRelativeResize="0"/>
                </pic:nvPicPr>
                <pic:blipFill>
                  <a:blip r:embed="rId1"/>
                  <a:srcRect/>
                  <a:stretch>
                    <a:fillRect/>
                  </a:stretch>
                </pic:blipFill>
                <pic:spPr>
                  <a:xfrm>
                    <a:off x="0" y="0"/>
                    <a:ext cx="1258976" cy="375347"/>
                  </a:xfrm>
                  <a:prstGeom prst="rect">
                    <a:avLst/>
                  </a:prstGeom>
                  <a:ln/>
                </pic:spPr>
              </pic:pic>
            </a:graphicData>
          </a:graphic>
        </wp:inline>
      </w:drawing>
    </w:r>
    <w:r>
      <w:rPr>
        <w:noProof/>
      </w:rPr>
      <w:drawing>
        <wp:anchor distT="0" distB="0" distL="114300" distR="114300" simplePos="0" relativeHeight="251660288" behindDoc="0" locked="0" layoutInCell="1" hidden="0" allowOverlap="1" wp14:anchorId="6263C1D0" wp14:editId="280F422C">
          <wp:simplePos x="0" y="0"/>
          <wp:positionH relativeFrom="column">
            <wp:posOffset>1314450</wp:posOffset>
          </wp:positionH>
          <wp:positionV relativeFrom="paragraph">
            <wp:posOffset>243222</wp:posOffset>
          </wp:positionV>
          <wp:extent cx="352108" cy="316897"/>
          <wp:effectExtent l="0" t="0" r="0" b="0"/>
          <wp:wrapNone/>
          <wp:docPr id="50" name="image3.png" descr="Logo_bmp"/>
          <wp:cNvGraphicFramePr/>
          <a:graphic xmlns:a="http://schemas.openxmlformats.org/drawingml/2006/main">
            <a:graphicData uri="http://schemas.openxmlformats.org/drawingml/2006/picture">
              <pic:pic xmlns:pic="http://schemas.openxmlformats.org/drawingml/2006/picture">
                <pic:nvPicPr>
                  <pic:cNvPr id="0" name="image3.png" descr="Logo_bmp"/>
                  <pic:cNvPicPr preferRelativeResize="0"/>
                </pic:nvPicPr>
                <pic:blipFill>
                  <a:blip r:embed="rId2"/>
                  <a:srcRect/>
                  <a:stretch>
                    <a:fillRect/>
                  </a:stretch>
                </pic:blipFill>
                <pic:spPr>
                  <a:xfrm>
                    <a:off x="0" y="0"/>
                    <a:ext cx="352108" cy="316897"/>
                  </a:xfrm>
                  <a:prstGeom prst="rect">
                    <a:avLst/>
                  </a:prstGeom>
                  <a:ln/>
                </pic:spPr>
              </pic:pic>
            </a:graphicData>
          </a:graphic>
        </wp:anchor>
      </w:drawing>
    </w:r>
  </w:p>
  <w:p w14:paraId="521D9A72" w14:textId="77777777" w:rsidR="0030077A" w:rsidRDefault="00AE2834">
    <w:pPr>
      <w:jc w:val="right"/>
      <w:rPr>
        <w:b/>
        <w:sz w:val="28"/>
        <w:szCs w:val="28"/>
      </w:rPr>
    </w:pPr>
    <w:r>
      <w:rPr>
        <w:rFonts w:ascii="Fira Sans SemiBold" w:eastAsia="Fira Sans SemiBold" w:hAnsi="Fira Sans SemiBold" w:cs="Fira Sans SemiBold"/>
        <w:color w:val="943B91"/>
      </w:rPr>
      <w:fldChar w:fldCharType="begin"/>
    </w:r>
    <w:r>
      <w:rPr>
        <w:rFonts w:ascii="Fira Sans SemiBold" w:eastAsia="Fira Sans SemiBold" w:hAnsi="Fira Sans SemiBold" w:cs="Fira Sans SemiBold"/>
        <w:color w:val="943B91"/>
      </w:rPr>
      <w:instrText>PAGE</w:instrText>
    </w:r>
    <w:r>
      <w:rPr>
        <w:rFonts w:ascii="Fira Sans SemiBold" w:eastAsia="Fira Sans SemiBold" w:hAnsi="Fira Sans SemiBold" w:cs="Fira Sans SemiBold"/>
        <w:color w:val="943B91"/>
      </w:rPr>
      <w:fldChar w:fldCharType="separate"/>
    </w:r>
    <w:r>
      <w:rPr>
        <w:rFonts w:ascii="Fira Sans SemiBold" w:eastAsia="Fira Sans SemiBold" w:hAnsi="Fira Sans SemiBold" w:cs="Fira Sans SemiBold"/>
        <w:color w:val="943B91"/>
      </w:rPr>
      <w:t>2</w:t>
    </w:r>
    <w:r>
      <w:rPr>
        <w:rFonts w:ascii="Fira Sans SemiBold" w:eastAsia="Fira Sans SemiBold" w:hAnsi="Fira Sans SemiBold" w:cs="Fira Sans SemiBold"/>
        <w:color w:val="943B9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4851" w14:textId="77777777" w:rsidR="0030077A" w:rsidRDefault="00AE2834">
    <w:pPr>
      <w:tabs>
        <w:tab w:val="center" w:pos="4536"/>
        <w:tab w:val="right" w:pos="9072"/>
      </w:tabs>
      <w:spacing w:line="240" w:lineRule="auto"/>
    </w:pPr>
    <w:r>
      <w:rPr>
        <w:b/>
        <w:sz w:val="28"/>
      </w:rPr>
      <w:br/>
    </w:r>
  </w:p>
  <w:p w14:paraId="273FFC81" w14:textId="77777777" w:rsidR="0030077A" w:rsidRDefault="00AE2834">
    <w:pPr>
      <w:jc w:val="right"/>
    </w:pPr>
    <w:r>
      <w:rPr>
        <w:rFonts w:ascii="Fira Sans SemiBold" w:eastAsia="Fira Sans SemiBold" w:hAnsi="Fira Sans SemiBold" w:cs="Fira Sans SemiBold"/>
        <w:color w:val="943B91"/>
      </w:rPr>
      <w:fldChar w:fldCharType="begin"/>
    </w:r>
    <w:r>
      <w:rPr>
        <w:rFonts w:ascii="Fira Sans SemiBold" w:eastAsia="Fira Sans SemiBold" w:hAnsi="Fira Sans SemiBold" w:cs="Fira Sans SemiBold"/>
        <w:color w:val="943B91"/>
      </w:rPr>
      <w:instrText>PAGE</w:instrText>
    </w:r>
    <w:r>
      <w:rPr>
        <w:rFonts w:ascii="Fira Sans SemiBold" w:eastAsia="Fira Sans SemiBold" w:hAnsi="Fira Sans SemiBold" w:cs="Fira Sans SemiBold"/>
        <w:color w:val="943B91"/>
      </w:rPr>
      <w:fldChar w:fldCharType="separate"/>
    </w:r>
    <w:r>
      <w:rPr>
        <w:rFonts w:ascii="Fira Sans SemiBold" w:eastAsia="Fira Sans SemiBold" w:hAnsi="Fira Sans SemiBold" w:cs="Fira Sans SemiBold"/>
        <w:color w:val="943B91"/>
      </w:rPr>
      <w:t>1</w:t>
    </w:r>
    <w:r>
      <w:rPr>
        <w:rFonts w:ascii="Fira Sans SemiBold" w:eastAsia="Fira Sans SemiBold" w:hAnsi="Fira Sans SemiBold" w:cs="Fira Sans SemiBold"/>
        <w:color w:val="943B9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E02F" w14:textId="77777777" w:rsidR="00B55E0B" w:rsidRDefault="00B55E0B">
      <w:pPr>
        <w:spacing w:line="240" w:lineRule="auto"/>
      </w:pPr>
      <w:r>
        <w:separator/>
      </w:r>
    </w:p>
  </w:footnote>
  <w:footnote w:type="continuationSeparator" w:id="0">
    <w:p w14:paraId="1BEFB5AA" w14:textId="77777777" w:rsidR="00B55E0B" w:rsidRDefault="00B55E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445B" w14:textId="77777777" w:rsidR="00232703" w:rsidRDefault="002327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A61A" w14:textId="77777777" w:rsidR="0030077A" w:rsidRDefault="00AE2834">
    <w:pPr>
      <w:rPr>
        <w:rFonts w:ascii="Fira Sans Medium" w:eastAsia="Fira Sans Medium" w:hAnsi="Fira Sans Medium" w:cs="Fira Sans Medium"/>
        <w:color w:val="200F40"/>
      </w:rPr>
    </w:pPr>
    <w:r>
      <w:rPr>
        <w:rFonts w:ascii="Fira Sans Medium" w:hAnsi="Fira Sans Medium"/>
        <w:noProof/>
        <w:color w:val="200F40"/>
      </w:rPr>
      <w:drawing>
        <wp:inline distT="114300" distB="114300" distL="114300" distR="114300" wp14:anchorId="1C6CA7A0" wp14:editId="0F676E7C">
          <wp:extent cx="1429304" cy="793432"/>
          <wp:effectExtent l="0" t="0" r="0" b="0"/>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29304" cy="793432"/>
                  </a:xfrm>
                  <a:prstGeom prst="rect">
                    <a:avLst/>
                  </a:prstGeom>
                  <a:ln/>
                </pic:spPr>
              </pic:pic>
            </a:graphicData>
          </a:graphic>
        </wp:inline>
      </w:drawing>
    </w:r>
    <w:r>
      <w:rPr>
        <w:rFonts w:ascii="Fira Sans Medium" w:hAnsi="Fira Sans Medium"/>
        <w:color w:val="200F40"/>
      </w:rPr>
      <w:t xml:space="preserve">                                                                                </w:t>
    </w:r>
  </w:p>
  <w:p w14:paraId="604913CD" w14:textId="77777777" w:rsidR="0030077A" w:rsidRDefault="0030077A">
    <w:pPr>
      <w:jc w:val="right"/>
      <w:rPr>
        <w:rFonts w:ascii="Fira Sans Medium" w:eastAsia="Fira Sans Medium" w:hAnsi="Fira Sans Medium" w:cs="Fira Sans Medium"/>
        <w:color w:val="200F40"/>
      </w:rPr>
    </w:pPr>
  </w:p>
  <w:p w14:paraId="6E898FF0" w14:textId="77777777" w:rsidR="0030077A" w:rsidRDefault="0030077A">
    <w:pPr>
      <w:jc w:val="right"/>
      <w:rPr>
        <w:rFonts w:ascii="Fira Sans Medium" w:eastAsia="Fira Sans Medium" w:hAnsi="Fira Sans Medium" w:cs="Fira Sans Medium"/>
        <w:color w:val="200F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8FB5" w14:textId="77777777" w:rsidR="0030077A" w:rsidRDefault="00AE2834">
    <w:pPr>
      <w:rPr>
        <w:rFonts w:ascii="Fira Sans" w:eastAsia="Fira Sans" w:hAnsi="Fira Sans" w:cs="Fira Sans"/>
        <w:color w:val="200F40"/>
      </w:rPr>
    </w:pPr>
    <w:r>
      <w:rPr>
        <w:rFonts w:ascii="Fira Sans Medium" w:hAnsi="Fira Sans Medium"/>
        <w:noProof/>
        <w:color w:val="200F40"/>
      </w:rPr>
      <w:drawing>
        <wp:inline distT="114300" distB="114300" distL="114300" distR="114300" wp14:anchorId="6C6A6441" wp14:editId="4894FC63">
          <wp:extent cx="2181543" cy="1200633"/>
          <wp:effectExtent l="0" t="0" r="0" b="0"/>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81543" cy="1200633"/>
                  </a:xfrm>
                  <a:prstGeom prst="rect">
                    <a:avLst/>
                  </a:prstGeom>
                  <a:ln/>
                </pic:spPr>
              </pic:pic>
            </a:graphicData>
          </a:graphic>
        </wp:inline>
      </w:drawing>
    </w:r>
    <w:r>
      <w:rPr>
        <w:rFonts w:ascii="Fira Sans Medium" w:hAnsi="Fira Sans Medium"/>
        <w:color w:val="200F40"/>
      </w:rPr>
      <w:t xml:space="preserve">                                               </w:t>
    </w:r>
    <w:r>
      <w:rPr>
        <w:rFonts w:ascii="Fira Sans" w:hAnsi="Fira Sans"/>
        <w:color w:val="200F40"/>
      </w:rPr>
      <w:t>por</w:t>
    </w:r>
    <w:r>
      <w:rPr>
        <w:noProof/>
      </w:rPr>
      <w:drawing>
        <wp:anchor distT="0" distB="0" distL="0" distR="0" simplePos="0" relativeHeight="251658240" behindDoc="0" locked="0" layoutInCell="1" hidden="0" allowOverlap="1" wp14:anchorId="16A335AA" wp14:editId="0E4E6A1E">
          <wp:simplePos x="0" y="0"/>
          <wp:positionH relativeFrom="column">
            <wp:posOffset>4152900</wp:posOffset>
          </wp:positionH>
          <wp:positionV relativeFrom="paragraph">
            <wp:posOffset>971550</wp:posOffset>
          </wp:positionV>
          <wp:extent cx="1258976" cy="375347"/>
          <wp:effectExtent l="0" t="0" r="0" b="0"/>
          <wp:wrapNone/>
          <wp:docPr id="48" name="image1.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10;&#10;Description générée automatiquement"/>
                  <pic:cNvPicPr preferRelativeResize="0"/>
                </pic:nvPicPr>
                <pic:blipFill>
                  <a:blip r:embed="rId2"/>
                  <a:srcRect/>
                  <a:stretch>
                    <a:fillRect/>
                  </a:stretch>
                </pic:blipFill>
                <pic:spPr>
                  <a:xfrm>
                    <a:off x="0" y="0"/>
                    <a:ext cx="1258976" cy="375347"/>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149AC94" wp14:editId="326EA5FF">
          <wp:simplePos x="0" y="0"/>
          <wp:positionH relativeFrom="column">
            <wp:posOffset>5410200</wp:posOffset>
          </wp:positionH>
          <wp:positionV relativeFrom="paragraph">
            <wp:posOffset>1000125</wp:posOffset>
          </wp:positionV>
          <wp:extent cx="352108" cy="316897"/>
          <wp:effectExtent l="0" t="0" r="0" b="0"/>
          <wp:wrapNone/>
          <wp:docPr id="49" name="image3.png" descr="Logo_bmp"/>
          <wp:cNvGraphicFramePr/>
          <a:graphic xmlns:a="http://schemas.openxmlformats.org/drawingml/2006/main">
            <a:graphicData uri="http://schemas.openxmlformats.org/drawingml/2006/picture">
              <pic:pic xmlns:pic="http://schemas.openxmlformats.org/drawingml/2006/picture">
                <pic:nvPicPr>
                  <pic:cNvPr id="0" name="image3.png" descr="Logo_bmp"/>
                  <pic:cNvPicPr preferRelativeResize="0"/>
                </pic:nvPicPr>
                <pic:blipFill>
                  <a:blip r:embed="rId3"/>
                  <a:srcRect/>
                  <a:stretch>
                    <a:fillRect/>
                  </a:stretch>
                </pic:blipFill>
                <pic:spPr>
                  <a:xfrm>
                    <a:off x="0" y="0"/>
                    <a:ext cx="352108" cy="316897"/>
                  </a:xfrm>
                  <a:prstGeom prst="rect">
                    <a:avLst/>
                  </a:prstGeom>
                  <a:ln/>
                </pic:spPr>
              </pic:pic>
            </a:graphicData>
          </a:graphic>
        </wp:anchor>
      </w:drawing>
    </w:r>
  </w:p>
  <w:p w14:paraId="5C24CFBF" w14:textId="51D4750E" w:rsidR="0030077A" w:rsidRPr="00232703" w:rsidRDefault="00232703">
    <w:pPr>
      <w:rPr>
        <w:rFonts w:ascii="Fira Sans" w:eastAsia="Fira Sans" w:hAnsi="Fira Sans" w:cs="Fira Sans"/>
        <w:color w:val="200F40"/>
        <w:sz w:val="16"/>
        <w:szCs w:val="16"/>
      </w:rPr>
    </w:pPr>
    <w:r>
      <w:rPr>
        <w:rFonts w:ascii="Fira Sans" w:hAnsi="Fira Sans"/>
        <w:color w:val="200F40"/>
        <w:sz w:val="16"/>
      </w:rPr>
      <w:t>BMI-23.25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908"/>
    <w:multiLevelType w:val="multilevel"/>
    <w:tmpl w:val="71B239E6"/>
    <w:lvl w:ilvl="0">
      <w:start w:val="1"/>
      <w:numFmt w:val="bullet"/>
      <w:lvlText w:val="●"/>
      <w:lvlJc w:val="left"/>
      <w:pPr>
        <w:ind w:left="720" w:hanging="360"/>
      </w:pPr>
      <w:rPr>
        <w:rFonts w:ascii="Noto Sans Symbols" w:eastAsia="Noto Sans Symbols" w:hAnsi="Noto Sans Symbols" w:cs="Noto Sans Symbols"/>
        <w:color w:val="943B9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9C0AAB"/>
    <w:multiLevelType w:val="multilevel"/>
    <w:tmpl w:val="FA005CC2"/>
    <w:lvl w:ilvl="0">
      <w:start w:val="1"/>
      <w:numFmt w:val="bullet"/>
      <w:lvlText w:val="●"/>
      <w:lvlJc w:val="left"/>
      <w:pPr>
        <w:ind w:left="720" w:hanging="360"/>
      </w:pPr>
      <w:rPr>
        <w:rFonts w:ascii="Noto Sans Symbols" w:eastAsia="Noto Sans Symbols" w:hAnsi="Noto Sans Symbols" w:cs="Noto Sans Symbols"/>
        <w:color w:val="943B9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563C48"/>
    <w:multiLevelType w:val="multilevel"/>
    <w:tmpl w:val="B84CED98"/>
    <w:lvl w:ilvl="0">
      <w:start w:val="1"/>
      <w:numFmt w:val="bullet"/>
      <w:lvlText w:val="●"/>
      <w:lvlJc w:val="left"/>
      <w:pPr>
        <w:ind w:left="720" w:hanging="360"/>
      </w:pPr>
      <w:rPr>
        <w:rFonts w:ascii="Noto Sans Symbols" w:eastAsia="Noto Sans Symbols" w:hAnsi="Noto Sans Symbols" w:cs="Noto Sans Symbols"/>
        <w:color w:val="943B9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FF0625"/>
    <w:multiLevelType w:val="hybridMultilevel"/>
    <w:tmpl w:val="D74E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8D05A5"/>
    <w:multiLevelType w:val="multilevel"/>
    <w:tmpl w:val="6354E276"/>
    <w:lvl w:ilvl="0">
      <w:start w:val="1"/>
      <w:numFmt w:val="bullet"/>
      <w:lvlText w:val="●"/>
      <w:lvlJc w:val="left"/>
      <w:pPr>
        <w:ind w:left="720" w:hanging="360"/>
      </w:pPr>
      <w:rPr>
        <w:rFonts w:ascii="Fira Sans" w:eastAsia="Fira Sans" w:hAnsi="Fira Sans" w:cs="Fira Sans"/>
        <w:b/>
        <w:strike w:val="0"/>
        <w:color w:val="943B9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321937"/>
    <w:multiLevelType w:val="hybridMultilevel"/>
    <w:tmpl w:val="2730B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1090469">
    <w:abstractNumId w:val="2"/>
  </w:num>
  <w:num w:numId="2" w16cid:durableId="1264537141">
    <w:abstractNumId w:val="4"/>
  </w:num>
  <w:num w:numId="3" w16cid:durableId="764765466">
    <w:abstractNumId w:val="0"/>
  </w:num>
  <w:num w:numId="4" w16cid:durableId="1735852735">
    <w:abstractNumId w:val="1"/>
  </w:num>
  <w:num w:numId="5" w16cid:durableId="54401273">
    <w:abstractNumId w:val="5"/>
  </w:num>
  <w:num w:numId="6" w16cid:durableId="837580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77A"/>
    <w:rsid w:val="000D6AF0"/>
    <w:rsid w:val="00232703"/>
    <w:rsid w:val="002D2647"/>
    <w:rsid w:val="0030077A"/>
    <w:rsid w:val="004266B2"/>
    <w:rsid w:val="004C1979"/>
    <w:rsid w:val="005F791D"/>
    <w:rsid w:val="00674381"/>
    <w:rsid w:val="00695D36"/>
    <w:rsid w:val="007312B5"/>
    <w:rsid w:val="0076092F"/>
    <w:rsid w:val="00822262"/>
    <w:rsid w:val="00860DC9"/>
    <w:rsid w:val="00923110"/>
    <w:rsid w:val="009B3882"/>
    <w:rsid w:val="00AE2834"/>
    <w:rsid w:val="00B55E0B"/>
    <w:rsid w:val="00D1788E"/>
    <w:rsid w:val="00FD6A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EC20"/>
  <w15:docId w15:val="{BDD7B82B-CDBA-4CB6-8C78-1AF35ED3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4B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134B6"/>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7134B6"/>
    <w:rPr>
      <w:sz w:val="16"/>
      <w:szCs w:val="16"/>
    </w:rPr>
  </w:style>
  <w:style w:type="paragraph" w:styleId="Textocomentario">
    <w:name w:val="annotation text"/>
    <w:basedOn w:val="Normal"/>
    <w:link w:val="TextocomentarioCar"/>
    <w:uiPriority w:val="99"/>
    <w:unhideWhenUsed/>
    <w:rsid w:val="007134B6"/>
    <w:pPr>
      <w:spacing w:line="240" w:lineRule="auto"/>
    </w:pPr>
    <w:rPr>
      <w:sz w:val="20"/>
      <w:szCs w:val="20"/>
    </w:rPr>
  </w:style>
  <w:style w:type="character" w:customStyle="1" w:styleId="TextocomentarioCar">
    <w:name w:val="Texto comentario Car"/>
    <w:basedOn w:val="Fuentedeprrafopredeter"/>
    <w:link w:val="Textocomentario"/>
    <w:uiPriority w:val="99"/>
    <w:rsid w:val="007134B6"/>
    <w:rPr>
      <w:rFonts w:ascii="Arial" w:eastAsia="Arial" w:hAnsi="Arial" w:cs="Arial"/>
      <w:sz w:val="20"/>
      <w:szCs w:val="20"/>
      <w:lang w:val="es-ES" w:eastAsia="fr-FR"/>
    </w:rPr>
  </w:style>
  <w:style w:type="character" w:styleId="Hipervnculo">
    <w:name w:val="Hyperlink"/>
    <w:basedOn w:val="Fuentedeprrafopredeter"/>
    <w:uiPriority w:val="99"/>
    <w:unhideWhenUsed/>
    <w:rsid w:val="00F15848"/>
    <w:rPr>
      <w:color w:val="0563C1" w:themeColor="hyperlink"/>
      <w:u w:val="single"/>
    </w:rPr>
  </w:style>
  <w:style w:type="character" w:styleId="Mencinsinresolver">
    <w:name w:val="Unresolved Mention"/>
    <w:basedOn w:val="Fuentedeprrafopredeter"/>
    <w:uiPriority w:val="99"/>
    <w:semiHidden/>
    <w:unhideWhenUsed/>
    <w:rsid w:val="00F15848"/>
    <w:rPr>
      <w:color w:val="605E5C"/>
      <w:shd w:val="clear" w:color="auto" w:fill="E1DFDD"/>
    </w:rPr>
  </w:style>
  <w:style w:type="paragraph" w:styleId="Encabezado">
    <w:name w:val="header"/>
    <w:basedOn w:val="Normal"/>
    <w:link w:val="EncabezadoCar"/>
    <w:uiPriority w:val="99"/>
    <w:unhideWhenUsed/>
    <w:rsid w:val="008526BE"/>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8526BE"/>
    <w:rPr>
      <w:rFonts w:ascii="Arial" w:eastAsia="Arial" w:hAnsi="Arial" w:cs="Arial"/>
      <w:lang w:val="es-ES" w:eastAsia="fr-FR"/>
    </w:rPr>
  </w:style>
  <w:style w:type="paragraph" w:styleId="Piedepgina">
    <w:name w:val="footer"/>
    <w:basedOn w:val="Normal"/>
    <w:link w:val="PiedepginaCar"/>
    <w:uiPriority w:val="99"/>
    <w:unhideWhenUsed/>
    <w:rsid w:val="008526BE"/>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8526BE"/>
    <w:rPr>
      <w:rFonts w:ascii="Arial" w:eastAsia="Arial" w:hAnsi="Arial" w:cs="Arial"/>
      <w:lang w:val="es-ES" w:eastAsia="fr-FR"/>
    </w:rPr>
  </w:style>
  <w:style w:type="paragraph" w:customStyle="1" w:styleId="Contact">
    <w:name w:val="Contact"/>
    <w:basedOn w:val="Normal"/>
    <w:rsid w:val="008526BE"/>
    <w:pPr>
      <w:spacing w:line="216" w:lineRule="exact"/>
    </w:pPr>
    <w:rPr>
      <w:rFonts w:ascii="Vinci Sans Medium" w:eastAsia="Times New Roman" w:hAnsi="Vinci Sans Medium" w:cs="Times New Roman"/>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674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ocodexmicrobiotainstitute.com/fr/diarrhee-associee-aux-antibiotiques" TargetMode="Externa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valcke@biocodex.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ocodexmicrobiotainstitute.com/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nternational-microbiota-observatory.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mr3QjwulfpeQjQYZkChHxrVPNg==">CgMxLjAyCWguMzBqMHpsbDgAciExend1X1d1Q0ZCRnpldGhWaU13cUZJWVdBdkxuQnZoWk4=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1699</Words>
  <Characters>9720</Characters>
  <Application>Microsoft Office Word</Application>
  <DocSecurity>0</DocSecurity>
  <Lines>190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Traducido al español por_x000d_
Argos TSP, S.L._x000d_
www.argos-tsp.com_x000d_
junio de 2023_x000d_
</dc:description>
  <cp:lastModifiedBy>philippe ciazynski</cp:lastModifiedBy>
  <cp:revision>7</cp:revision>
  <cp:lastPrinted>2023-06-06T07:21:00Z</cp:lastPrinted>
  <dcterms:created xsi:type="dcterms:W3CDTF">2023-06-16T11:17:00Z</dcterms:created>
  <dcterms:modified xsi:type="dcterms:W3CDTF">2023-06-16T20:16:00Z</dcterms:modified>
</cp:coreProperties>
</file>