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15AC" w14:textId="77777777" w:rsidR="007134B6" w:rsidRDefault="007134B6" w:rsidP="007134B6">
      <w:pPr>
        <w:jc w:val="both"/>
        <w:rPr>
          <w:rFonts w:ascii="Fira Sans" w:eastAsia="Fira Sans" w:hAnsi="Fira Sans" w:cs="Fira Sans"/>
          <w:b/>
          <w:bCs/>
        </w:rPr>
      </w:pPr>
    </w:p>
    <w:p w14:paraId="5AAC1DBC" w14:textId="77777777" w:rsidR="007134B6" w:rsidRDefault="007134B6" w:rsidP="007134B6">
      <w:pPr>
        <w:jc w:val="center"/>
        <w:rPr>
          <w:rFonts w:ascii="Fira Sans" w:eastAsia="Fira Sans" w:hAnsi="Fira Sans" w:cs="Fira Sans"/>
          <w:b/>
          <w:bCs/>
        </w:rPr>
      </w:pPr>
      <w:r>
        <w:rPr>
          <w:noProof/>
        </w:rPr>
        <w:drawing>
          <wp:inline distT="114300" distB="114300" distL="114300" distR="114300" wp14:anchorId="4F1473FB" wp14:editId="5EB25254">
            <wp:extent cx="1990725" cy="693420"/>
            <wp:effectExtent l="0" t="0" r="9525" b="0"/>
            <wp:docPr id="1" name="image1.png" descr="Une image contenant texte, Police, Graphiqu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Police, Graphique, logo&#10;&#10;Description générée automatiquement"/>
                    <pic:cNvPicPr preferRelativeResize="0"/>
                  </pic:nvPicPr>
                  <pic:blipFill>
                    <a:blip r:embed="rId8"/>
                    <a:srcRect/>
                    <a:stretch>
                      <a:fillRect/>
                    </a:stretch>
                  </pic:blipFill>
                  <pic:spPr>
                    <a:xfrm>
                      <a:off x="0" y="0"/>
                      <a:ext cx="1992991" cy="694209"/>
                    </a:xfrm>
                    <a:prstGeom prst="rect">
                      <a:avLst/>
                    </a:prstGeom>
                    <a:ln/>
                  </pic:spPr>
                </pic:pic>
              </a:graphicData>
            </a:graphic>
          </wp:inline>
        </w:drawing>
      </w:r>
    </w:p>
    <w:p w14:paraId="749FCC70" w14:textId="77777777" w:rsidR="007134B6" w:rsidRDefault="007134B6" w:rsidP="007134B6">
      <w:pPr>
        <w:jc w:val="both"/>
        <w:rPr>
          <w:rFonts w:ascii="Fira Sans" w:eastAsia="Fira Sans" w:hAnsi="Fira Sans" w:cs="Fira Sans"/>
          <w:b/>
          <w:bCs/>
        </w:rPr>
      </w:pPr>
      <w:r w:rsidRPr="00ED1161">
        <w:rPr>
          <w:rFonts w:ascii="Tahoma" w:hAnsi="Tahoma" w:cs="Tahoma"/>
          <w:noProof/>
          <w:color w:val="333399"/>
          <w:sz w:val="20"/>
          <w:szCs w:val="26"/>
        </w:rPr>
        <w:drawing>
          <wp:anchor distT="0" distB="0" distL="114300" distR="114300" simplePos="0" relativeHeight="251659264" behindDoc="0" locked="0" layoutInCell="1" allowOverlap="1" wp14:anchorId="7A0D3ACD" wp14:editId="6895C5F4">
            <wp:simplePos x="0" y="0"/>
            <wp:positionH relativeFrom="column">
              <wp:posOffset>5567680</wp:posOffset>
            </wp:positionH>
            <wp:positionV relativeFrom="paragraph">
              <wp:posOffset>13970</wp:posOffset>
            </wp:positionV>
            <wp:extent cx="470722" cy="428625"/>
            <wp:effectExtent l="0" t="0" r="5715" b="0"/>
            <wp:wrapNone/>
            <wp:docPr id="46" name="Image 46" descr="Log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mp"/>
                    <pic:cNvPicPr>
                      <a:picLocks noChangeAspect="1" noChangeArrowheads="1"/>
                    </pic:cNvPicPr>
                  </pic:nvPicPr>
                  <pic:blipFill>
                    <a:blip r:embed="rId9"/>
                    <a:srcRect/>
                    <a:stretch>
                      <a:fillRect/>
                    </a:stretch>
                  </pic:blipFill>
                  <pic:spPr bwMode="auto">
                    <a:xfrm>
                      <a:off x="0" y="0"/>
                      <a:ext cx="472728" cy="43045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EF712B" w14:textId="085BC626" w:rsidR="007134B6" w:rsidRDefault="007134B6" w:rsidP="007134B6">
      <w:pPr>
        <w:jc w:val="both"/>
        <w:rPr>
          <w:rFonts w:ascii="Fira Sans" w:eastAsia="Fira Sans" w:hAnsi="Fira Sans" w:cs="Fira Sans"/>
          <w:b/>
          <w:bCs/>
        </w:rPr>
      </w:pPr>
      <w:r>
        <w:rPr>
          <w:b/>
          <w:noProof/>
          <w:color w:val="000000" w:themeColor="text1"/>
          <w:sz w:val="28"/>
        </w:rPr>
        <w:drawing>
          <wp:inline distT="0" distB="0" distL="0" distR="0" wp14:anchorId="54D808AB" wp14:editId="7ED15897">
            <wp:extent cx="1228725" cy="366328"/>
            <wp:effectExtent l="0" t="0" r="0" b="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0"/>
                    <a:stretch>
                      <a:fillRect/>
                    </a:stretch>
                  </pic:blipFill>
                  <pic:spPr>
                    <a:xfrm>
                      <a:off x="0" y="0"/>
                      <a:ext cx="1258976" cy="375347"/>
                    </a:xfrm>
                    <a:prstGeom prst="rect">
                      <a:avLst/>
                    </a:prstGeom>
                  </pic:spPr>
                </pic:pic>
              </a:graphicData>
            </a:graphic>
          </wp:inline>
        </w:drawing>
      </w:r>
    </w:p>
    <w:p w14:paraId="380EF6AC" w14:textId="77777777" w:rsidR="0013232A" w:rsidRDefault="0013232A" w:rsidP="007134B6">
      <w:pPr>
        <w:jc w:val="both"/>
        <w:rPr>
          <w:rFonts w:ascii="Fira Sans" w:eastAsia="Fira Sans" w:hAnsi="Fira Sans" w:cs="Fira Sans"/>
          <w:b/>
          <w:bCs/>
        </w:rPr>
      </w:pPr>
    </w:p>
    <w:p w14:paraId="17514AD9" w14:textId="782D9937" w:rsidR="007134B6" w:rsidRPr="003957F3" w:rsidRDefault="007134B6" w:rsidP="007134B6">
      <w:pPr>
        <w:jc w:val="both"/>
        <w:rPr>
          <w:rFonts w:asciiTheme="minorHAnsi" w:eastAsiaTheme="minorEastAsia" w:hAnsiTheme="minorHAnsi" w:cstheme="minorHAnsi"/>
          <w:b/>
          <w:bCs/>
          <w:lang w:val="fr-FR"/>
        </w:rPr>
      </w:pPr>
      <w:r w:rsidRPr="003957F3">
        <w:rPr>
          <w:rFonts w:asciiTheme="minorHAnsi" w:eastAsiaTheme="minorEastAsia" w:hAnsiTheme="minorHAnsi" w:cstheme="minorHAnsi"/>
          <w:b/>
          <w:bCs/>
          <w:lang w:val="fr-FR"/>
        </w:rPr>
        <w:t xml:space="preserve">Communiqué de presse </w:t>
      </w:r>
      <w:r w:rsidRPr="003957F3">
        <w:rPr>
          <w:rFonts w:asciiTheme="minorHAnsi" w:eastAsiaTheme="minorEastAsia" w:hAnsiTheme="minorHAnsi" w:cstheme="minorHAnsi"/>
          <w:b/>
          <w:bCs/>
          <w:lang w:val="fr-FR"/>
        </w:rPr>
        <w:tab/>
      </w:r>
      <w:r w:rsidRPr="003957F3">
        <w:rPr>
          <w:rFonts w:asciiTheme="minorHAnsi" w:eastAsiaTheme="minorEastAsia" w:hAnsiTheme="minorHAnsi" w:cstheme="minorHAnsi"/>
          <w:b/>
          <w:bCs/>
          <w:lang w:val="fr-FR"/>
        </w:rPr>
        <w:tab/>
      </w:r>
      <w:r w:rsidRPr="003957F3">
        <w:rPr>
          <w:rFonts w:asciiTheme="minorHAnsi" w:eastAsiaTheme="minorEastAsia" w:hAnsiTheme="minorHAnsi" w:cstheme="minorHAnsi"/>
          <w:b/>
          <w:bCs/>
          <w:lang w:val="fr-FR"/>
        </w:rPr>
        <w:tab/>
      </w:r>
      <w:r w:rsidRPr="003957F3">
        <w:rPr>
          <w:rFonts w:asciiTheme="minorHAnsi" w:eastAsiaTheme="minorEastAsia" w:hAnsiTheme="minorHAnsi" w:cstheme="minorHAnsi"/>
          <w:b/>
          <w:bCs/>
          <w:lang w:val="fr-FR"/>
        </w:rPr>
        <w:tab/>
      </w:r>
      <w:r w:rsidRPr="003957F3">
        <w:rPr>
          <w:rFonts w:asciiTheme="minorHAnsi" w:eastAsiaTheme="minorEastAsia" w:hAnsiTheme="minorHAnsi" w:cstheme="minorHAnsi"/>
          <w:b/>
          <w:bCs/>
          <w:lang w:val="fr-FR"/>
        </w:rPr>
        <w:tab/>
      </w:r>
      <w:r w:rsidRPr="003957F3">
        <w:rPr>
          <w:rFonts w:asciiTheme="minorHAnsi" w:eastAsiaTheme="minorEastAsia" w:hAnsiTheme="minorHAnsi" w:cstheme="minorHAnsi"/>
          <w:b/>
          <w:bCs/>
          <w:lang w:val="fr-FR"/>
        </w:rPr>
        <w:tab/>
      </w:r>
      <w:r w:rsidRPr="003957F3">
        <w:rPr>
          <w:rFonts w:asciiTheme="minorHAnsi" w:eastAsiaTheme="minorEastAsia" w:hAnsiTheme="minorHAnsi" w:cstheme="minorHAnsi"/>
          <w:b/>
          <w:bCs/>
          <w:lang w:val="fr-FR"/>
        </w:rPr>
        <w:tab/>
        <w:t xml:space="preserve">             Le 27 juin 2023</w:t>
      </w:r>
    </w:p>
    <w:p w14:paraId="24B1380E" w14:textId="77777777" w:rsidR="007134B6" w:rsidRDefault="007134B6" w:rsidP="007134B6">
      <w:pPr>
        <w:jc w:val="center"/>
        <w:rPr>
          <w:rFonts w:ascii="Fira Sans" w:eastAsia="Fira Sans" w:hAnsi="Fira Sans" w:cs="Fira Sans"/>
          <w:b/>
          <w:bCs/>
        </w:rPr>
      </w:pP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0"/>
      </w:tblGrid>
      <w:tr w:rsidR="007134B6" w14:paraId="6AA5D7A4" w14:textId="77777777" w:rsidTr="00F02A79">
        <w:trPr>
          <w:trHeight w:val="1050"/>
        </w:trPr>
        <w:tc>
          <w:tcPr>
            <w:tcW w:w="9660" w:type="dxa"/>
          </w:tcPr>
          <w:p w14:paraId="59781F6E" w14:textId="7DBF0E17" w:rsidR="003957F3" w:rsidRPr="00B95E3A" w:rsidRDefault="00C30652" w:rsidP="00F02A79">
            <w:pPr>
              <w:jc w:val="center"/>
              <w:rPr>
                <w:rFonts w:asciiTheme="minorHAnsi" w:eastAsia="Fira Sans" w:hAnsiTheme="minorHAnsi" w:cstheme="minorHAnsi"/>
                <w:b/>
                <w:bCs/>
                <w:i/>
                <w:iCs/>
                <w:sz w:val="24"/>
                <w:szCs w:val="24"/>
              </w:rPr>
            </w:pPr>
            <w:r w:rsidRPr="00B95E3A">
              <w:rPr>
                <w:rFonts w:asciiTheme="minorHAnsi" w:eastAsia="Fira Sans" w:hAnsiTheme="minorHAnsi" w:cstheme="minorHAnsi"/>
                <w:b/>
                <w:bCs/>
                <w:i/>
                <w:iCs/>
                <w:sz w:val="24"/>
                <w:szCs w:val="24"/>
              </w:rPr>
              <w:t>1</w:t>
            </w:r>
            <w:r w:rsidRPr="00B95E3A">
              <w:rPr>
                <w:rFonts w:asciiTheme="minorHAnsi" w:eastAsia="Fira Sans" w:hAnsiTheme="minorHAnsi" w:cstheme="minorHAnsi"/>
                <w:b/>
                <w:bCs/>
                <w:i/>
                <w:iCs/>
                <w:sz w:val="24"/>
                <w:szCs w:val="24"/>
                <w:vertAlign w:val="superscript"/>
              </w:rPr>
              <w:t>ère</w:t>
            </w:r>
            <w:r w:rsidRPr="00B95E3A">
              <w:rPr>
                <w:rFonts w:asciiTheme="minorHAnsi" w:eastAsia="Fira Sans" w:hAnsiTheme="minorHAnsi" w:cstheme="minorHAnsi"/>
                <w:b/>
                <w:bCs/>
                <w:i/>
                <w:iCs/>
                <w:sz w:val="24"/>
                <w:szCs w:val="24"/>
              </w:rPr>
              <w:t xml:space="preserve"> édition de l’</w:t>
            </w:r>
            <w:r w:rsidR="003957F3" w:rsidRPr="00B95E3A">
              <w:rPr>
                <w:rFonts w:asciiTheme="minorHAnsi" w:eastAsia="Fira Sans" w:hAnsiTheme="minorHAnsi" w:cstheme="minorHAnsi"/>
                <w:b/>
                <w:bCs/>
                <w:i/>
                <w:iCs/>
                <w:sz w:val="24"/>
                <w:szCs w:val="24"/>
              </w:rPr>
              <w:t>Observatoire International d</w:t>
            </w:r>
            <w:r w:rsidR="00C31B44" w:rsidRPr="00B95E3A">
              <w:rPr>
                <w:rFonts w:asciiTheme="minorHAnsi" w:eastAsia="Fira Sans" w:hAnsiTheme="minorHAnsi" w:cstheme="minorHAnsi"/>
                <w:b/>
                <w:bCs/>
                <w:i/>
                <w:iCs/>
                <w:sz w:val="24"/>
                <w:szCs w:val="24"/>
              </w:rPr>
              <w:t>es</w:t>
            </w:r>
            <w:r w:rsidR="003957F3" w:rsidRPr="00B95E3A">
              <w:rPr>
                <w:rFonts w:asciiTheme="minorHAnsi" w:eastAsia="Fira Sans" w:hAnsiTheme="minorHAnsi" w:cstheme="minorHAnsi"/>
                <w:b/>
                <w:bCs/>
                <w:i/>
                <w:iCs/>
                <w:sz w:val="24"/>
                <w:szCs w:val="24"/>
              </w:rPr>
              <w:t xml:space="preserve"> Microbiote</w:t>
            </w:r>
            <w:r w:rsidR="00C31B44" w:rsidRPr="00B95E3A">
              <w:rPr>
                <w:rFonts w:asciiTheme="minorHAnsi" w:eastAsia="Fira Sans" w:hAnsiTheme="minorHAnsi" w:cstheme="minorHAnsi"/>
                <w:b/>
                <w:bCs/>
                <w:i/>
                <w:iCs/>
                <w:sz w:val="24"/>
                <w:szCs w:val="24"/>
              </w:rPr>
              <w:t>s</w:t>
            </w:r>
            <w:r w:rsidR="003957F3" w:rsidRPr="00B95E3A">
              <w:rPr>
                <w:rFonts w:asciiTheme="minorHAnsi" w:eastAsia="Fira Sans" w:hAnsiTheme="minorHAnsi" w:cstheme="minorHAnsi"/>
                <w:b/>
                <w:bCs/>
                <w:i/>
                <w:iCs/>
                <w:sz w:val="24"/>
                <w:szCs w:val="24"/>
              </w:rPr>
              <w:t xml:space="preserve">  </w:t>
            </w:r>
          </w:p>
          <w:p w14:paraId="6C33E53B" w14:textId="79805AEA" w:rsidR="00C31B44" w:rsidRDefault="007134B6" w:rsidP="00F02A79">
            <w:pPr>
              <w:jc w:val="center"/>
              <w:rPr>
                <w:rFonts w:asciiTheme="minorHAnsi" w:eastAsia="Fira Sans" w:hAnsiTheme="minorHAnsi" w:cstheme="minorHAnsi"/>
                <w:b/>
                <w:bCs/>
                <w:sz w:val="28"/>
                <w:szCs w:val="28"/>
              </w:rPr>
            </w:pPr>
            <w:r w:rsidRPr="00C31B44">
              <w:rPr>
                <w:rFonts w:asciiTheme="minorHAnsi" w:eastAsia="Fira Sans" w:hAnsiTheme="minorHAnsi" w:cstheme="minorHAnsi"/>
                <w:b/>
                <w:bCs/>
                <w:sz w:val="28"/>
                <w:szCs w:val="28"/>
              </w:rPr>
              <w:t xml:space="preserve">Les microbiotes, essentiels pour la santé mais </w:t>
            </w:r>
            <w:r w:rsidR="00C31B44">
              <w:rPr>
                <w:rFonts w:asciiTheme="minorHAnsi" w:eastAsia="Fira Sans" w:hAnsiTheme="minorHAnsi" w:cstheme="minorHAnsi"/>
                <w:b/>
                <w:bCs/>
                <w:sz w:val="28"/>
                <w:szCs w:val="28"/>
              </w:rPr>
              <w:t xml:space="preserve">peu connus </w:t>
            </w:r>
            <w:r w:rsidR="00C30652">
              <w:rPr>
                <w:rFonts w:asciiTheme="minorHAnsi" w:eastAsia="Fira Sans" w:hAnsiTheme="minorHAnsi" w:cstheme="minorHAnsi"/>
                <w:b/>
                <w:bCs/>
                <w:sz w:val="28"/>
                <w:szCs w:val="28"/>
              </w:rPr>
              <w:t>dans le monde</w:t>
            </w:r>
            <w:r w:rsidR="00495A2A">
              <w:rPr>
                <w:rFonts w:asciiTheme="minorHAnsi" w:eastAsia="Fira Sans" w:hAnsiTheme="minorHAnsi" w:cstheme="minorHAnsi"/>
                <w:b/>
                <w:bCs/>
                <w:sz w:val="28"/>
                <w:szCs w:val="28"/>
              </w:rPr>
              <w:t>.</w:t>
            </w:r>
          </w:p>
          <w:p w14:paraId="7356757D" w14:textId="7701B31D" w:rsidR="007134B6" w:rsidRPr="008526BE" w:rsidRDefault="0079225D" w:rsidP="0079225D">
            <w:pPr>
              <w:jc w:val="center"/>
              <w:rPr>
                <w:rFonts w:asciiTheme="minorHAnsi" w:eastAsia="Fira Sans" w:hAnsiTheme="minorHAnsi" w:cstheme="minorHAnsi"/>
                <w:b/>
                <w:bCs/>
                <w:sz w:val="28"/>
                <w:szCs w:val="28"/>
              </w:rPr>
            </w:pPr>
            <w:r w:rsidRPr="0079225D">
              <w:rPr>
                <w:rFonts w:asciiTheme="minorHAnsi" w:eastAsia="Fira Sans" w:hAnsiTheme="minorHAnsi" w:cstheme="minorHAnsi"/>
                <w:b/>
                <w:bCs/>
                <w:sz w:val="28"/>
                <w:szCs w:val="28"/>
              </w:rPr>
              <w:t>Les Espagnols ont des connaissance</w:t>
            </w:r>
            <w:r w:rsidR="00673D4D">
              <w:rPr>
                <w:rFonts w:asciiTheme="minorHAnsi" w:eastAsia="Fira Sans" w:hAnsiTheme="minorHAnsi" w:cstheme="minorHAnsi"/>
                <w:b/>
                <w:bCs/>
                <w:sz w:val="28"/>
                <w:szCs w:val="28"/>
              </w:rPr>
              <w:t>s</w:t>
            </w:r>
            <w:r w:rsidRPr="0079225D">
              <w:rPr>
                <w:rFonts w:asciiTheme="minorHAnsi" w:eastAsia="Fira Sans" w:hAnsiTheme="minorHAnsi" w:cstheme="minorHAnsi"/>
                <w:b/>
                <w:bCs/>
                <w:sz w:val="28"/>
                <w:szCs w:val="28"/>
              </w:rPr>
              <w:t xml:space="preserve"> très médiocres sur les microbiotes et sur les comportements à adopter pour les préserver le mieux</w:t>
            </w:r>
            <w:r>
              <w:rPr>
                <w:rFonts w:asciiTheme="minorHAnsi" w:eastAsia="Fira Sans" w:hAnsiTheme="minorHAnsi" w:cstheme="minorHAnsi"/>
                <w:b/>
                <w:bCs/>
                <w:sz w:val="28"/>
                <w:szCs w:val="28"/>
              </w:rPr>
              <w:t xml:space="preserve"> possible</w:t>
            </w:r>
            <w:r w:rsidRPr="0079225D">
              <w:rPr>
                <w:rFonts w:asciiTheme="minorHAnsi" w:eastAsia="Fira Sans" w:hAnsiTheme="minorHAnsi" w:cstheme="minorHAnsi"/>
                <w:b/>
                <w:bCs/>
                <w:sz w:val="28"/>
                <w:szCs w:val="28"/>
              </w:rPr>
              <w:t xml:space="preserve">. </w:t>
            </w:r>
          </w:p>
          <w:p w14:paraId="57547FF0" w14:textId="77777777" w:rsidR="008526BE" w:rsidRPr="008526BE" w:rsidRDefault="008526BE" w:rsidP="00F02A79">
            <w:pPr>
              <w:jc w:val="center"/>
              <w:rPr>
                <w:rFonts w:asciiTheme="minorHAnsi" w:eastAsia="Fira Sans" w:hAnsiTheme="minorHAnsi" w:cstheme="minorHAnsi"/>
                <w:b/>
                <w:bCs/>
                <w:sz w:val="28"/>
                <w:szCs w:val="28"/>
              </w:rPr>
            </w:pPr>
          </w:p>
          <w:p w14:paraId="1471BE7F" w14:textId="41041AFA" w:rsidR="008526BE" w:rsidRPr="008526BE" w:rsidRDefault="008526BE" w:rsidP="00F02A79">
            <w:pPr>
              <w:jc w:val="center"/>
              <w:rPr>
                <w:rFonts w:asciiTheme="minorHAnsi" w:eastAsia="Fira Sans" w:hAnsiTheme="minorHAnsi" w:cstheme="minorHAnsi"/>
                <w:b/>
                <w:bCs/>
                <w:sz w:val="28"/>
                <w:szCs w:val="28"/>
              </w:rPr>
            </w:pPr>
            <w:r w:rsidRPr="0060257B">
              <w:rPr>
                <w:rFonts w:asciiTheme="minorHAnsi" w:eastAsia="Fira Sans" w:hAnsiTheme="minorHAnsi" w:cstheme="minorHAnsi"/>
                <w:b/>
                <w:bCs/>
                <w:color w:val="FF0000"/>
                <w:sz w:val="28"/>
                <w:szCs w:val="28"/>
                <w:highlight w:val="green"/>
              </w:rPr>
              <w:t>Sondage sous embargo jusqu’au 27 juin, 05h00 du matin</w:t>
            </w:r>
          </w:p>
        </w:tc>
      </w:tr>
    </w:tbl>
    <w:p w14:paraId="774E8FAF" w14:textId="77777777" w:rsidR="007134B6" w:rsidRPr="00826498" w:rsidRDefault="007134B6" w:rsidP="007134B6">
      <w:pPr>
        <w:jc w:val="both"/>
        <w:rPr>
          <w:rFonts w:ascii="Fira Sans" w:eastAsia="Fira Sans" w:hAnsi="Fira Sans" w:cs="Fira Sans"/>
          <w:i/>
          <w:iCs/>
          <w:sz w:val="20"/>
          <w:szCs w:val="20"/>
        </w:rPr>
      </w:pPr>
    </w:p>
    <w:p w14:paraId="24B7C75B" w14:textId="6D6FE596" w:rsidR="007134B6" w:rsidRDefault="007134B6" w:rsidP="007134B6">
      <w:pPr>
        <w:spacing w:after="120"/>
        <w:jc w:val="both"/>
        <w:rPr>
          <w:rFonts w:ascii="Calibri" w:hAnsi="Calibri" w:cs="Tahoma"/>
          <w:i/>
          <w:lang w:eastAsia="ar-SA"/>
        </w:rPr>
      </w:pPr>
      <w:r w:rsidRPr="007134B6">
        <w:rPr>
          <w:rFonts w:ascii="Calibri" w:hAnsi="Calibri" w:cs="Tahoma"/>
          <w:i/>
          <w:lang w:eastAsia="ar-SA"/>
        </w:rPr>
        <w:t xml:space="preserve">Le microbiote est composé de milliards de microorganismes (bactéries, virus, champignons…) vivant en symbiose avec notre corps. Nous avons un microbiote intestinal mais aussi un microbiote de la peau, un microbiote de la bouche, des poumons, un microbiote urinaire, vaginal…   Ces microbiotes jouent un rôle essentiel pour notre santé. </w:t>
      </w:r>
      <w:r>
        <w:rPr>
          <w:rFonts w:ascii="Calibri" w:hAnsi="Calibri" w:cs="Tahoma"/>
          <w:i/>
          <w:lang w:eastAsia="ar-SA"/>
        </w:rPr>
        <w:t xml:space="preserve">Mais que savent aujourd’hui nos concitoyens du rôle du microbiote ? Que connaissent-ils des comportements à adopter pour prendre soin de leur microbiote ? Souffrent-ils aujourd’hui de problèmes de santé qu’ils associent à leur microbiote ? Quel rôle a aujourd’hui le professionnel de santé dans l’information des </w:t>
      </w:r>
      <w:r w:rsidRPr="00C31B44">
        <w:rPr>
          <w:rFonts w:ascii="Calibri" w:hAnsi="Calibri" w:cs="Tahoma"/>
          <w:i/>
          <w:lang w:eastAsia="ar-SA"/>
        </w:rPr>
        <w:t>patients</w:t>
      </w:r>
      <w:r w:rsidR="0060257B" w:rsidRPr="00C31B44">
        <w:rPr>
          <w:rFonts w:ascii="Calibri" w:hAnsi="Calibri" w:cs="Tahoma"/>
          <w:i/>
          <w:lang w:eastAsia="ar-SA"/>
        </w:rPr>
        <w:t xml:space="preserve"> sur les comportements à avoir pour préserver l’équilibre de ses microbiotes</w:t>
      </w:r>
      <w:r w:rsidRPr="00C31B44">
        <w:rPr>
          <w:rFonts w:ascii="Calibri" w:hAnsi="Calibri" w:cs="Tahoma"/>
          <w:i/>
          <w:lang w:eastAsia="ar-SA"/>
        </w:rPr>
        <w:t> ?</w:t>
      </w:r>
      <w:r>
        <w:rPr>
          <w:rFonts w:ascii="Calibri" w:hAnsi="Calibri" w:cs="Tahoma"/>
          <w:i/>
          <w:lang w:eastAsia="ar-SA"/>
        </w:rPr>
        <w:t xml:space="preserve"> C’est pour répondre à ces questions que le Biocodex Microbiota Institute a confié à Ipsos la réalisation d’une grande enquête internationale </w:t>
      </w:r>
      <w:r w:rsidRPr="001A46EF">
        <w:rPr>
          <w:rFonts w:ascii="Calibri" w:hAnsi="Calibri" w:cs="Tahoma"/>
          <w:i/>
          <w:lang w:eastAsia="ar-SA"/>
        </w:rPr>
        <w:t>menée auprès de 6 500 personnes dans 7 pays (France, Espagne, Portugal, Etats-Unis, Brésil, Mexique et Chine)</w:t>
      </w:r>
      <w:r w:rsidR="00C31B44">
        <w:rPr>
          <w:rFonts w:ascii="Calibri" w:hAnsi="Calibri" w:cs="Tahoma"/>
          <w:i/>
          <w:lang w:eastAsia="ar-SA"/>
        </w:rPr>
        <w:t> : l’Observatoire International des Microbiotes.</w:t>
      </w:r>
      <w:r>
        <w:rPr>
          <w:rFonts w:ascii="Calibri" w:hAnsi="Calibri" w:cs="Tahoma"/>
          <w:i/>
          <w:lang w:eastAsia="ar-SA"/>
        </w:rPr>
        <w:t xml:space="preserve"> </w:t>
      </w:r>
      <w:r w:rsidRPr="007134B6">
        <w:rPr>
          <w:rFonts w:ascii="Calibri" w:hAnsi="Calibri" w:cs="Tahoma"/>
          <w:b/>
          <w:bCs/>
          <w:i/>
          <w:lang w:eastAsia="ar-SA"/>
        </w:rPr>
        <w:t xml:space="preserve">Au-delà des disparités géographiques sur les comportements, cette enquête exclusive révèle une méconnaissance globale du rôle des microbiotes sur la santé et souligne la place essentielle du professionnel de santé dans cette bonne compréhension. </w:t>
      </w:r>
      <w:r>
        <w:rPr>
          <w:rFonts w:ascii="Calibri" w:hAnsi="Calibri" w:cs="Tahoma"/>
          <w:i/>
          <w:lang w:eastAsia="ar-SA"/>
        </w:rPr>
        <w:t>Les résultats ont été présentés le 27 juin 2023, à l’occasion de la Journée Mondiale du Microbiome.</w:t>
      </w:r>
    </w:p>
    <w:p w14:paraId="3967C13B" w14:textId="77777777" w:rsidR="007134B6" w:rsidRDefault="007134B6" w:rsidP="007134B6">
      <w:pPr>
        <w:rPr>
          <w:rFonts w:ascii="Fira Sans" w:eastAsia="Fira Sans" w:hAnsi="Fira Sans" w:cs="Fira Sans"/>
          <w:i/>
          <w:iCs/>
          <w:sz w:val="20"/>
          <w:szCs w:val="20"/>
        </w:rPr>
      </w:pPr>
    </w:p>
    <w:p w14:paraId="5C6CBFBC" w14:textId="1E1BD47A" w:rsidR="007134B6" w:rsidRPr="008526BE" w:rsidRDefault="007134B6" w:rsidP="007134B6">
      <w:pPr>
        <w:pStyle w:val="NormalWeb"/>
        <w:spacing w:before="0" w:beforeAutospacing="0" w:after="0" w:afterAutospacing="0"/>
        <w:jc w:val="both"/>
        <w:rPr>
          <w:rFonts w:asciiTheme="minorHAnsi" w:eastAsiaTheme="minorEastAsia" w:hAnsiTheme="minorHAnsi" w:cstheme="minorHAnsi"/>
          <w:b/>
          <w:bCs/>
          <w:color w:val="7030A0"/>
          <w:u w:val="single"/>
        </w:rPr>
      </w:pPr>
      <w:r w:rsidRPr="008526BE">
        <w:rPr>
          <w:rFonts w:asciiTheme="minorHAnsi" w:eastAsiaTheme="minorEastAsia" w:hAnsiTheme="minorHAnsi" w:cstheme="minorHAnsi"/>
          <w:b/>
          <w:bCs/>
          <w:color w:val="7030A0"/>
          <w:u w:val="single"/>
        </w:rPr>
        <w:t>Un faible niveau de connaissance sur le rôle des microbiotes pour la santé…</w:t>
      </w:r>
    </w:p>
    <w:p w14:paraId="46D09B9D" w14:textId="77777777" w:rsidR="007134B6" w:rsidRDefault="007134B6" w:rsidP="007134B6">
      <w:pPr>
        <w:pStyle w:val="NormalWeb"/>
        <w:spacing w:before="0" w:beforeAutospacing="0" w:after="0" w:afterAutospacing="0" w:line="276" w:lineRule="auto"/>
        <w:jc w:val="both"/>
        <w:rPr>
          <w:rFonts w:asciiTheme="minorHAnsi" w:eastAsiaTheme="minorEastAsia" w:hAnsiTheme="minorHAnsi" w:cstheme="minorHAnsi"/>
          <w:sz w:val="22"/>
          <w:szCs w:val="22"/>
        </w:rPr>
      </w:pPr>
    </w:p>
    <w:p w14:paraId="6FCE1B31" w14:textId="77777777" w:rsidR="007134B6" w:rsidRDefault="007134B6" w:rsidP="007134B6">
      <w:pPr>
        <w:pStyle w:val="NormalWeb"/>
        <w:numPr>
          <w:ilvl w:val="0"/>
          <w:numId w:val="9"/>
        </w:numPr>
        <w:spacing w:before="0" w:beforeAutospacing="0" w:after="0" w:afterAutospacing="0" w:line="276" w:lineRule="auto"/>
        <w:jc w:val="both"/>
        <w:rPr>
          <w:rFonts w:asciiTheme="minorHAnsi" w:eastAsiaTheme="minorEastAsia" w:hAnsiTheme="minorHAnsi" w:cstheme="minorHAnsi"/>
          <w:strike/>
          <w:color w:val="44546A" w:themeColor="text2"/>
          <w:sz w:val="22"/>
          <w:szCs w:val="22"/>
        </w:rPr>
      </w:pPr>
      <w:r w:rsidRPr="007134B6">
        <w:rPr>
          <w:rFonts w:asciiTheme="minorHAnsi" w:eastAsiaTheme="minorEastAsia" w:hAnsiTheme="minorHAnsi" w:cstheme="minorHAnsi"/>
          <w:b/>
          <w:bCs/>
          <w:sz w:val="22"/>
          <w:szCs w:val="22"/>
        </w:rPr>
        <w:t>Seule 1 personne sur 5</w:t>
      </w:r>
      <w:r w:rsidRPr="0026585E">
        <w:rPr>
          <w:rFonts w:asciiTheme="minorHAnsi" w:eastAsiaTheme="minorEastAsia" w:hAnsiTheme="minorHAnsi" w:cstheme="minorHAnsi"/>
          <w:b/>
          <w:bCs/>
          <w:sz w:val="22"/>
          <w:szCs w:val="22"/>
        </w:rPr>
        <w:t xml:space="preserve"> déclare connaitre la signification exacte du terme microbiote (21%).</w:t>
      </w:r>
      <w:r w:rsidRPr="003F04D3">
        <w:rPr>
          <w:rFonts w:asciiTheme="minorHAnsi" w:eastAsiaTheme="minorEastAsia" w:hAnsiTheme="minorHAnsi" w:cstheme="minorHAnsi"/>
          <w:sz w:val="22"/>
          <w:szCs w:val="22"/>
        </w:rPr>
        <w:t xml:space="preserve"> </w:t>
      </w:r>
      <w:r w:rsidRPr="007134B6">
        <w:rPr>
          <w:rFonts w:asciiTheme="minorHAnsi" w:eastAsiaTheme="minorEastAsia" w:hAnsiTheme="minorHAnsi" w:cstheme="minorHAnsi"/>
          <w:sz w:val="22"/>
          <w:szCs w:val="22"/>
        </w:rPr>
        <w:t>Le microbiote intestinal demeure le plus connu avec 53% des sondés qui connaissent le terme</w:t>
      </w:r>
      <w:r w:rsidRPr="003F04D3">
        <w:rPr>
          <w:rFonts w:asciiTheme="minorHAnsi" w:eastAsiaTheme="minorEastAsia" w:hAnsiTheme="minorHAnsi" w:cstheme="minorHAnsi"/>
          <w:sz w:val="22"/>
          <w:szCs w:val="22"/>
        </w:rPr>
        <w:t xml:space="preserve"> mais seulement 24% </w:t>
      </w:r>
      <w:r>
        <w:rPr>
          <w:rFonts w:asciiTheme="minorHAnsi" w:eastAsiaTheme="minorEastAsia" w:hAnsiTheme="minorHAnsi" w:cstheme="minorHAnsi"/>
          <w:sz w:val="22"/>
          <w:szCs w:val="22"/>
        </w:rPr>
        <w:t>qui déclarent savoir</w:t>
      </w:r>
      <w:r w:rsidRPr="003F04D3">
        <w:rPr>
          <w:rFonts w:asciiTheme="minorHAnsi" w:eastAsiaTheme="minorEastAsia" w:hAnsiTheme="minorHAnsi" w:cstheme="minorHAnsi"/>
          <w:sz w:val="22"/>
          <w:szCs w:val="22"/>
        </w:rPr>
        <w:t xml:space="preserve"> exactement ce que c’est. Les autres microbiotes sont beaucoup plus méconnus avec</w:t>
      </w:r>
      <w:r>
        <w:rPr>
          <w:rFonts w:asciiTheme="minorHAnsi" w:eastAsiaTheme="minorEastAsia" w:hAnsiTheme="minorHAnsi" w:cstheme="minorHAnsi"/>
          <w:sz w:val="22"/>
          <w:szCs w:val="22"/>
        </w:rPr>
        <w:t xml:space="preserve">, </w:t>
      </w:r>
      <w:r w:rsidRPr="003F04D3">
        <w:rPr>
          <w:rFonts w:asciiTheme="minorHAnsi" w:eastAsiaTheme="minorEastAsia" w:hAnsiTheme="minorHAnsi" w:cstheme="minorHAnsi"/>
          <w:sz w:val="22"/>
          <w:szCs w:val="22"/>
        </w:rPr>
        <w:t>dans l’ordre</w:t>
      </w:r>
      <w:r>
        <w:rPr>
          <w:rFonts w:asciiTheme="minorHAnsi" w:eastAsiaTheme="minorEastAsia" w:hAnsiTheme="minorHAnsi" w:cstheme="minorHAnsi"/>
          <w:sz w:val="22"/>
          <w:szCs w:val="22"/>
        </w:rPr>
        <w:t>,</w:t>
      </w:r>
      <w:r w:rsidRPr="003F04D3">
        <w:rPr>
          <w:rFonts w:asciiTheme="minorHAnsi" w:eastAsiaTheme="minorEastAsia" w:hAnsiTheme="minorHAnsi" w:cstheme="minorHAnsi"/>
          <w:sz w:val="22"/>
          <w:szCs w:val="22"/>
        </w:rPr>
        <w:t xml:space="preserve"> le microbiote vaginal (45% des interviewés connaissent le terme et seulement 18% en ont une connaissance exacte), le microbiote bucco-dentaire (43% le connaissent de nom mais 17% savent ce que c’est) ou encore le microbiote de la peau (40% connaissent le terme mais seuls 15% savent ce que c’est). </w:t>
      </w:r>
    </w:p>
    <w:p w14:paraId="0EE92451" w14:textId="487782AB" w:rsidR="007134B6" w:rsidRPr="008526BE" w:rsidRDefault="007134B6" w:rsidP="007134B6">
      <w:pPr>
        <w:pStyle w:val="NormalWeb"/>
        <w:numPr>
          <w:ilvl w:val="0"/>
          <w:numId w:val="7"/>
        </w:numPr>
        <w:spacing w:before="0" w:beforeAutospacing="0" w:after="0" w:afterAutospacing="0" w:line="276" w:lineRule="auto"/>
        <w:jc w:val="both"/>
        <w:rPr>
          <w:rFonts w:asciiTheme="minorHAnsi" w:eastAsiaTheme="minorEastAsia" w:hAnsiTheme="minorHAnsi" w:cstheme="minorHAnsi"/>
          <w:strike/>
          <w:color w:val="44546A" w:themeColor="text2"/>
          <w:sz w:val="22"/>
          <w:szCs w:val="22"/>
        </w:rPr>
      </w:pPr>
      <w:r w:rsidRPr="008526BE">
        <w:rPr>
          <w:rFonts w:asciiTheme="minorHAnsi" w:eastAsiaTheme="minorEastAsia" w:hAnsiTheme="minorHAnsi" w:cstheme="minorHAnsi"/>
          <w:sz w:val="22"/>
          <w:szCs w:val="22"/>
        </w:rPr>
        <w:t xml:space="preserve">3 interviewés sur 4 ont conscience qu’un risque de déséquilibre des microbiotes peut avoir des conséquences importantes pour la santé (75%). 74% des personnes interviewées </w:t>
      </w:r>
      <w:r w:rsidR="00C30652">
        <w:rPr>
          <w:rFonts w:asciiTheme="minorHAnsi" w:eastAsiaTheme="minorEastAsia" w:hAnsiTheme="minorHAnsi" w:cstheme="minorHAnsi"/>
          <w:sz w:val="22"/>
          <w:szCs w:val="22"/>
        </w:rPr>
        <w:t xml:space="preserve">déclarent </w:t>
      </w:r>
      <w:r w:rsidR="00C30652">
        <w:rPr>
          <w:rFonts w:asciiTheme="minorHAnsi" w:eastAsiaTheme="minorEastAsia" w:hAnsiTheme="minorHAnsi" w:cstheme="minorHAnsi"/>
          <w:sz w:val="22"/>
          <w:szCs w:val="22"/>
        </w:rPr>
        <w:lastRenderedPageBreak/>
        <w:t xml:space="preserve">que notre </w:t>
      </w:r>
      <w:r w:rsidRPr="008526BE">
        <w:rPr>
          <w:rFonts w:asciiTheme="minorHAnsi" w:hAnsiTheme="minorHAnsi" w:cstheme="minorHAnsi"/>
          <w:sz w:val="22"/>
          <w:szCs w:val="22"/>
        </w:rPr>
        <w:t xml:space="preserve">alimentation a des conséquences importantes sur l’équilibre de notre microbiote et 72% que le microbiote joue un vrai rôle dans les mécanismes de défense immunitaire. </w:t>
      </w:r>
    </w:p>
    <w:p w14:paraId="5203AA69" w14:textId="3D9B307F" w:rsidR="007134B6" w:rsidRPr="007459F4" w:rsidRDefault="007134B6" w:rsidP="007134B6">
      <w:pPr>
        <w:pStyle w:val="NormalWeb"/>
        <w:numPr>
          <w:ilvl w:val="0"/>
          <w:numId w:val="7"/>
        </w:numPr>
        <w:spacing w:before="0" w:beforeAutospacing="0" w:after="0" w:afterAutospacing="0" w:line="276" w:lineRule="auto"/>
        <w:jc w:val="both"/>
        <w:rPr>
          <w:rFonts w:asciiTheme="minorHAnsi" w:hAnsiTheme="minorHAnsi" w:cstheme="minorHAnsi"/>
          <w:sz w:val="22"/>
          <w:szCs w:val="22"/>
        </w:rPr>
      </w:pPr>
      <w:r w:rsidRPr="007134B6">
        <w:rPr>
          <w:rFonts w:asciiTheme="minorHAnsi" w:hAnsiTheme="minorHAnsi" w:cstheme="minorHAnsi"/>
          <w:b/>
          <w:bCs/>
          <w:sz w:val="22"/>
          <w:szCs w:val="22"/>
        </w:rPr>
        <w:t>Mais</w:t>
      </w:r>
      <w:r w:rsidRPr="0026585E">
        <w:rPr>
          <w:rFonts w:asciiTheme="minorHAnsi" w:hAnsiTheme="minorHAnsi" w:cstheme="minorHAnsi"/>
          <w:b/>
          <w:bCs/>
          <w:sz w:val="22"/>
          <w:szCs w:val="22"/>
        </w:rPr>
        <w:t xml:space="preserve"> plus d’1 personne sur 3 n’a pas conscience que les antibiotiques ont un impact sur nos microbiotes (34%).</w:t>
      </w:r>
      <w:r w:rsidRPr="007459F4">
        <w:rPr>
          <w:rFonts w:asciiTheme="minorHAnsi" w:hAnsiTheme="minorHAnsi" w:cstheme="minorHAnsi"/>
          <w:sz w:val="22"/>
          <w:szCs w:val="22"/>
        </w:rPr>
        <w:t xml:space="preserve"> </w:t>
      </w:r>
      <w:bookmarkStart w:id="0" w:name="_Hlk136453001"/>
      <w:r>
        <w:rPr>
          <w:rFonts w:asciiTheme="minorHAnsi" w:hAnsiTheme="minorHAnsi" w:cstheme="minorHAnsi"/>
          <w:sz w:val="22"/>
          <w:szCs w:val="22"/>
        </w:rPr>
        <w:t>La</w:t>
      </w:r>
      <w:r w:rsidRPr="00F02A79">
        <w:rPr>
          <w:rFonts w:asciiTheme="minorHAnsi" w:hAnsiTheme="minorHAnsi" w:cstheme="minorHAnsi"/>
          <w:sz w:val="22"/>
          <w:szCs w:val="22"/>
        </w:rPr>
        <w:t xml:space="preserve"> grande majorité des interviewés</w:t>
      </w:r>
      <w:r>
        <w:rPr>
          <w:rFonts w:asciiTheme="minorHAnsi" w:hAnsiTheme="minorHAnsi" w:cstheme="minorHAnsi"/>
          <w:sz w:val="22"/>
          <w:szCs w:val="22"/>
        </w:rPr>
        <w:t xml:space="preserve"> </w:t>
      </w:r>
      <w:r w:rsidRPr="00F02A79">
        <w:rPr>
          <w:rFonts w:asciiTheme="minorHAnsi" w:hAnsiTheme="minorHAnsi" w:cstheme="minorHAnsi"/>
          <w:sz w:val="22"/>
          <w:szCs w:val="22"/>
        </w:rPr>
        <w:t>ignore que certaines maladies non digestives comme la maladie de Parkinson, la maladie d’Alzheimer ou encore l’autisme pourraient avoir un lien avec les microbiotes (75%).</w:t>
      </w:r>
      <w:r w:rsidRPr="007459F4">
        <w:rPr>
          <w:rFonts w:asciiTheme="minorHAnsi" w:hAnsiTheme="minorHAnsi" w:cstheme="minorHAnsi"/>
          <w:sz w:val="22"/>
          <w:szCs w:val="22"/>
        </w:rPr>
        <w:t xml:space="preserve"> </w:t>
      </w:r>
      <w:bookmarkEnd w:id="0"/>
    </w:p>
    <w:p w14:paraId="71AD5FC6" w14:textId="77777777" w:rsidR="007134B6" w:rsidRPr="003F04D3" w:rsidRDefault="007134B6" w:rsidP="007134B6">
      <w:pPr>
        <w:rPr>
          <w:lang w:val="fr-FR"/>
        </w:rPr>
      </w:pPr>
    </w:p>
    <w:p w14:paraId="234022C5" w14:textId="77777777" w:rsidR="007134B6" w:rsidRPr="003F04D3" w:rsidRDefault="007134B6" w:rsidP="007134B6">
      <w:pPr>
        <w:rPr>
          <w:lang w:val="fr-FR"/>
        </w:rPr>
      </w:pPr>
    </w:p>
    <w:p w14:paraId="6E82B282" w14:textId="77777777" w:rsidR="007134B6" w:rsidRPr="008526BE" w:rsidRDefault="007134B6" w:rsidP="007134B6">
      <w:pPr>
        <w:rPr>
          <w:rFonts w:asciiTheme="minorHAnsi" w:eastAsiaTheme="minorEastAsia" w:hAnsiTheme="minorHAnsi" w:cstheme="minorHAnsi"/>
          <w:b/>
          <w:bCs/>
          <w:color w:val="7030A0"/>
          <w:sz w:val="24"/>
          <w:szCs w:val="24"/>
          <w:u w:val="single"/>
          <w:lang w:val="fr-FR"/>
        </w:rPr>
      </w:pPr>
      <w:r w:rsidRPr="008526BE">
        <w:rPr>
          <w:rFonts w:asciiTheme="minorHAnsi" w:eastAsiaTheme="minorEastAsia" w:hAnsiTheme="minorHAnsi" w:cstheme="minorHAnsi"/>
          <w:b/>
          <w:bCs/>
          <w:color w:val="7030A0"/>
          <w:sz w:val="24"/>
          <w:szCs w:val="24"/>
          <w:u w:val="single"/>
          <w:lang w:val="fr-FR"/>
        </w:rPr>
        <w:t xml:space="preserve">… et une timide prise de conscience sur les « bons » comportements à avoir pour prendre soin de ses microbiotes </w:t>
      </w:r>
    </w:p>
    <w:p w14:paraId="2707285A" w14:textId="77777777" w:rsidR="007134B6" w:rsidRPr="003F04D3" w:rsidRDefault="007134B6" w:rsidP="007134B6">
      <w:pPr>
        <w:pStyle w:val="NormalWeb"/>
        <w:spacing w:before="0" w:beforeAutospacing="0" w:after="0" w:afterAutospacing="0"/>
        <w:jc w:val="both"/>
        <w:rPr>
          <w:rFonts w:asciiTheme="minorHAnsi" w:eastAsiaTheme="minorEastAsia" w:hAnsiTheme="minorHAnsi" w:cstheme="minorHAnsi"/>
          <w:sz w:val="22"/>
          <w:szCs w:val="22"/>
        </w:rPr>
      </w:pPr>
    </w:p>
    <w:p w14:paraId="58A3D9BD" w14:textId="64EE81F1" w:rsidR="007134B6" w:rsidRDefault="007134B6" w:rsidP="007134B6">
      <w:pPr>
        <w:pStyle w:val="NormalWeb"/>
        <w:numPr>
          <w:ilvl w:val="0"/>
          <w:numId w:val="2"/>
        </w:numPr>
        <w:spacing w:before="0" w:beforeAutospacing="0" w:after="0" w:afterAutospacing="0"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sz w:val="22"/>
          <w:szCs w:val="22"/>
        </w:rPr>
        <w:t>Ils</w:t>
      </w:r>
      <w:r w:rsidRPr="003F04D3">
        <w:rPr>
          <w:rFonts w:asciiTheme="minorHAnsi" w:eastAsiaTheme="minorEastAsia" w:hAnsiTheme="minorHAnsi" w:cstheme="minorHAnsi"/>
          <w:sz w:val="22"/>
          <w:szCs w:val="22"/>
        </w:rPr>
        <w:t xml:space="preserve"> savent qu’il faut avoir une alimentation équilibrée (84%), pratiquer une activité physique (76%) et éviter de fumer (72%) pour rester en bonne santé</w:t>
      </w:r>
      <w:r>
        <w:rPr>
          <w:rFonts w:asciiTheme="minorHAnsi" w:eastAsiaTheme="minorEastAsia" w:hAnsiTheme="minorHAnsi" w:cstheme="minorHAnsi"/>
          <w:sz w:val="22"/>
          <w:szCs w:val="22"/>
        </w:rPr>
        <w:t xml:space="preserve"> et par déduction que ces comportements ont un impact favorable sur les microbiotes</w:t>
      </w:r>
      <w:r w:rsidRPr="003F04D3">
        <w:rPr>
          <w:rFonts w:asciiTheme="minorHAnsi" w:eastAsiaTheme="minorEastAsia" w:hAnsiTheme="minorHAnsi" w:cstheme="minorHAnsi"/>
          <w:sz w:val="22"/>
          <w:szCs w:val="22"/>
        </w:rPr>
        <w:t>.</w:t>
      </w:r>
      <w:r>
        <w:rPr>
          <w:rFonts w:asciiTheme="minorHAnsi" w:eastAsiaTheme="minorEastAsia" w:hAnsiTheme="minorHAnsi" w:cstheme="minorHAnsi"/>
          <w:sz w:val="22"/>
          <w:szCs w:val="22"/>
        </w:rPr>
        <w:t xml:space="preserve"> </w:t>
      </w:r>
    </w:p>
    <w:p w14:paraId="20E507B8" w14:textId="4417E9AD" w:rsidR="007134B6" w:rsidRDefault="007134B6" w:rsidP="007134B6">
      <w:pPr>
        <w:pStyle w:val="NormalWeb"/>
        <w:numPr>
          <w:ilvl w:val="0"/>
          <w:numId w:val="2"/>
        </w:numPr>
        <w:spacing w:before="0" w:beforeAutospacing="0" w:after="0" w:afterAutospacing="0" w:line="276" w:lineRule="auto"/>
        <w:jc w:val="both"/>
        <w:rPr>
          <w:rFonts w:asciiTheme="minorHAnsi" w:eastAsiaTheme="minorEastAsia" w:hAnsiTheme="minorHAnsi" w:cstheme="minorHAnsi"/>
          <w:sz w:val="22"/>
          <w:szCs w:val="22"/>
        </w:rPr>
      </w:pPr>
      <w:r w:rsidRPr="003F04D3">
        <w:rPr>
          <w:rFonts w:asciiTheme="minorHAnsi" w:eastAsiaTheme="minorEastAsia" w:hAnsiTheme="minorHAnsi" w:cstheme="minorHAnsi"/>
          <w:b/>
          <w:bCs/>
          <w:sz w:val="22"/>
          <w:szCs w:val="22"/>
        </w:rPr>
        <w:t>En revanche, lorsqu’il s’agit de comportements plus spécifiques, le niveau de connaissance s’effondre</w:t>
      </w:r>
      <w:r w:rsidRPr="003F04D3">
        <w:rPr>
          <w:rFonts w:asciiTheme="minorHAnsi" w:eastAsiaTheme="minorEastAsia" w:hAnsiTheme="minorHAnsi" w:cstheme="minorHAnsi"/>
          <w:sz w:val="22"/>
          <w:szCs w:val="22"/>
        </w:rPr>
        <w:t xml:space="preserve"> : seulement 1 personne sur 3 sait qu’il vaut mieux ne pas se laver deux fois par jour pour préserver le microbiote de sa peau (35%). </w:t>
      </w:r>
      <w:r w:rsidRPr="00EF4FE1">
        <w:rPr>
          <w:rFonts w:asciiTheme="minorHAnsi" w:eastAsiaTheme="minorEastAsia" w:hAnsiTheme="minorHAnsi" w:cstheme="minorHAnsi"/>
          <w:sz w:val="22"/>
          <w:szCs w:val="22"/>
        </w:rPr>
        <w:t>Moins d’1 femme sur 2 sait qu’il faut éviter les douches vaginales parce qu’elles sont mauvaises pour le</w:t>
      </w:r>
      <w:r w:rsidR="00037046">
        <w:rPr>
          <w:rFonts w:asciiTheme="minorHAnsi" w:eastAsiaTheme="minorEastAsia" w:hAnsiTheme="minorHAnsi" w:cstheme="minorHAnsi"/>
          <w:sz w:val="22"/>
          <w:szCs w:val="22"/>
        </w:rPr>
        <w:t>ur</w:t>
      </w:r>
      <w:r w:rsidRPr="00EF4FE1">
        <w:rPr>
          <w:rFonts w:asciiTheme="minorHAnsi" w:eastAsiaTheme="minorEastAsia" w:hAnsiTheme="minorHAnsi" w:cstheme="minorHAnsi"/>
          <w:sz w:val="22"/>
          <w:szCs w:val="22"/>
        </w:rPr>
        <w:t xml:space="preserve"> microbiote</w:t>
      </w:r>
      <w:r w:rsidR="00037046">
        <w:rPr>
          <w:rFonts w:asciiTheme="minorHAnsi" w:eastAsiaTheme="minorEastAsia" w:hAnsiTheme="minorHAnsi" w:cstheme="minorHAnsi"/>
          <w:sz w:val="22"/>
          <w:szCs w:val="22"/>
        </w:rPr>
        <w:t xml:space="preserve"> vaginal</w:t>
      </w:r>
      <w:r w:rsidRPr="00EF4FE1">
        <w:rPr>
          <w:rFonts w:asciiTheme="minorHAnsi" w:eastAsiaTheme="minorEastAsia" w:hAnsiTheme="minorHAnsi" w:cstheme="minorHAnsi"/>
          <w:sz w:val="22"/>
          <w:szCs w:val="22"/>
        </w:rPr>
        <w:t xml:space="preserve"> (42%).</w:t>
      </w:r>
      <w:r w:rsidRPr="003F04D3">
        <w:rPr>
          <w:rFonts w:asciiTheme="minorHAnsi" w:eastAsiaTheme="minorEastAsia" w:hAnsiTheme="minorHAnsi" w:cstheme="minorHAnsi"/>
          <w:sz w:val="22"/>
          <w:szCs w:val="22"/>
        </w:rPr>
        <w:t xml:space="preserve"> </w:t>
      </w:r>
    </w:p>
    <w:p w14:paraId="0D65F271" w14:textId="77777777" w:rsidR="007134B6" w:rsidRDefault="007134B6" w:rsidP="007134B6">
      <w:pPr>
        <w:pStyle w:val="NormalWeb"/>
        <w:numPr>
          <w:ilvl w:val="0"/>
          <w:numId w:val="2"/>
        </w:numPr>
        <w:spacing w:before="0" w:beforeAutospacing="0" w:after="0" w:afterAutospacing="0" w:line="276" w:lineRule="auto"/>
        <w:jc w:val="both"/>
        <w:rPr>
          <w:rFonts w:asciiTheme="minorHAnsi" w:eastAsiaTheme="minorEastAsia" w:hAnsiTheme="minorHAnsi" w:cstheme="minorHAnsi"/>
          <w:sz w:val="22"/>
          <w:szCs w:val="22"/>
        </w:rPr>
      </w:pPr>
      <w:r w:rsidRPr="003F04D3">
        <w:rPr>
          <w:rFonts w:asciiTheme="minorHAnsi" w:eastAsiaTheme="minorEastAsia" w:hAnsiTheme="minorHAnsi" w:cstheme="minorHAnsi"/>
          <w:sz w:val="22"/>
          <w:szCs w:val="22"/>
        </w:rPr>
        <w:t>Plus d’1 personne sur 2 d</w:t>
      </w:r>
      <w:r>
        <w:rPr>
          <w:rFonts w:asciiTheme="minorHAnsi" w:eastAsiaTheme="minorEastAsia" w:hAnsiTheme="minorHAnsi" w:cstheme="minorHAnsi"/>
          <w:sz w:val="22"/>
          <w:szCs w:val="22"/>
        </w:rPr>
        <w:t>éclare</w:t>
      </w:r>
      <w:r w:rsidRPr="003F04D3">
        <w:rPr>
          <w:rFonts w:asciiTheme="minorHAnsi" w:eastAsiaTheme="minorEastAsia" w:hAnsiTheme="minorHAnsi" w:cstheme="minorHAnsi"/>
          <w:sz w:val="22"/>
          <w:szCs w:val="22"/>
        </w:rPr>
        <w:t xml:space="preserve"> aujourd’hui avoir adopté des comportements dans sa vie de tous les jours pour conserver l’équilibre de s</w:t>
      </w:r>
      <w:r>
        <w:rPr>
          <w:rFonts w:asciiTheme="minorHAnsi" w:eastAsiaTheme="minorEastAsia" w:hAnsiTheme="minorHAnsi" w:cstheme="minorHAnsi"/>
          <w:sz w:val="22"/>
          <w:szCs w:val="22"/>
        </w:rPr>
        <w:t>es</w:t>
      </w:r>
      <w:r w:rsidRPr="003F04D3">
        <w:rPr>
          <w:rFonts w:asciiTheme="minorHAnsi" w:eastAsiaTheme="minorEastAsia" w:hAnsiTheme="minorHAnsi" w:cstheme="minorHAnsi"/>
          <w:sz w:val="22"/>
          <w:szCs w:val="22"/>
        </w:rPr>
        <w:t xml:space="preserve"> microbiote</w:t>
      </w:r>
      <w:r>
        <w:rPr>
          <w:rFonts w:asciiTheme="minorHAnsi" w:eastAsiaTheme="minorEastAsia" w:hAnsiTheme="minorHAnsi" w:cstheme="minorHAnsi"/>
          <w:sz w:val="22"/>
          <w:szCs w:val="22"/>
        </w:rPr>
        <w:t>s</w:t>
      </w:r>
      <w:r w:rsidRPr="003F04D3">
        <w:rPr>
          <w:rFonts w:asciiTheme="minorHAnsi" w:eastAsiaTheme="minorEastAsia" w:hAnsiTheme="minorHAnsi" w:cstheme="minorHAnsi"/>
          <w:sz w:val="22"/>
          <w:szCs w:val="22"/>
        </w:rPr>
        <w:t xml:space="preserve"> (57%). </w:t>
      </w:r>
    </w:p>
    <w:p w14:paraId="1B128F4D" w14:textId="21158EFD" w:rsidR="007134B6" w:rsidRPr="003F04D3" w:rsidRDefault="007134B6" w:rsidP="007134B6">
      <w:pPr>
        <w:pStyle w:val="NormalWeb"/>
        <w:numPr>
          <w:ilvl w:val="0"/>
          <w:numId w:val="2"/>
        </w:numPr>
        <w:spacing w:before="0" w:beforeAutospacing="0" w:after="0" w:afterAutospacing="0" w:line="276" w:lineRule="auto"/>
        <w:jc w:val="both"/>
        <w:rPr>
          <w:rFonts w:asciiTheme="minorHAnsi" w:eastAsiaTheme="minorEastAsia" w:hAnsiTheme="minorHAnsi" w:cstheme="minorHAnsi"/>
          <w:sz w:val="22"/>
          <w:szCs w:val="22"/>
        </w:rPr>
      </w:pPr>
      <w:r w:rsidRPr="003F04D3">
        <w:rPr>
          <w:rFonts w:asciiTheme="minorHAnsi" w:eastAsiaTheme="minorEastAsia" w:hAnsiTheme="minorHAnsi" w:cstheme="minorHAnsi"/>
          <w:b/>
          <w:bCs/>
          <w:sz w:val="22"/>
          <w:szCs w:val="22"/>
        </w:rPr>
        <w:t xml:space="preserve">Il faut saluer cette prise de conscience, même s’il convient de la relativiser aussi. </w:t>
      </w:r>
      <w:r w:rsidRPr="00EF4FE1">
        <w:rPr>
          <w:rFonts w:asciiTheme="minorHAnsi" w:eastAsiaTheme="minorEastAsia" w:hAnsiTheme="minorHAnsi" w:cstheme="minorHAnsi"/>
          <w:sz w:val="22"/>
          <w:szCs w:val="22"/>
        </w:rPr>
        <w:t xml:space="preserve">D’abord parce que </w:t>
      </w:r>
      <w:bookmarkStart w:id="1" w:name="_Hlk136453184"/>
      <w:r w:rsidRPr="00EF4FE1">
        <w:rPr>
          <w:rFonts w:asciiTheme="minorHAnsi" w:eastAsiaTheme="minorEastAsia" w:hAnsiTheme="minorHAnsi" w:cstheme="minorHAnsi"/>
          <w:sz w:val="22"/>
          <w:szCs w:val="22"/>
        </w:rPr>
        <w:t>seulement 1 individu sur 7 dit le faire « beaucoup » (15%)</w:t>
      </w:r>
      <w:bookmarkEnd w:id="1"/>
      <w:r w:rsidRPr="00EF4FE1">
        <w:rPr>
          <w:rFonts w:asciiTheme="minorHAnsi" w:eastAsiaTheme="minorEastAsia" w:hAnsiTheme="minorHAnsi" w:cstheme="minorHAnsi"/>
          <w:sz w:val="22"/>
          <w:szCs w:val="22"/>
        </w:rPr>
        <w:t xml:space="preserve">, les autres disent pour la plupart le faire seulement « un peu » (42%). Ensuite parce </w:t>
      </w:r>
      <w:r w:rsidRPr="007134B6">
        <w:rPr>
          <w:rFonts w:asciiTheme="minorHAnsi" w:eastAsiaTheme="minorEastAsia" w:hAnsiTheme="minorHAnsi" w:cstheme="minorHAnsi"/>
          <w:sz w:val="22"/>
          <w:szCs w:val="22"/>
        </w:rPr>
        <w:t>que</w:t>
      </w:r>
      <w:r w:rsidRPr="00EF4FE1">
        <w:rPr>
          <w:rFonts w:asciiTheme="minorHAnsi" w:eastAsiaTheme="minorEastAsia" w:hAnsiTheme="minorHAnsi" w:cstheme="minorHAnsi"/>
          <w:sz w:val="22"/>
          <w:szCs w:val="22"/>
        </w:rPr>
        <w:t xml:space="preserve"> 43% des personnes interrogées disent n’avoir adopté aucun comportement spécifique. Les résultats</w:t>
      </w:r>
      <w:r w:rsidRPr="003F04D3">
        <w:rPr>
          <w:rFonts w:asciiTheme="minorHAnsi" w:eastAsiaTheme="minorEastAsia" w:hAnsiTheme="minorHAnsi" w:cstheme="minorHAnsi"/>
          <w:sz w:val="22"/>
          <w:szCs w:val="22"/>
        </w:rPr>
        <w:t xml:space="preserve"> de l’Observatoire International d</w:t>
      </w:r>
      <w:r>
        <w:rPr>
          <w:rFonts w:asciiTheme="minorHAnsi" w:eastAsiaTheme="minorEastAsia" w:hAnsiTheme="minorHAnsi" w:cstheme="minorHAnsi"/>
          <w:sz w:val="22"/>
          <w:szCs w:val="22"/>
        </w:rPr>
        <w:t>es</w:t>
      </w:r>
      <w:r w:rsidRPr="003F04D3">
        <w:rPr>
          <w:rFonts w:asciiTheme="minorHAnsi" w:eastAsiaTheme="minorEastAsia" w:hAnsiTheme="minorHAnsi" w:cstheme="minorHAnsi"/>
          <w:sz w:val="22"/>
          <w:szCs w:val="22"/>
        </w:rPr>
        <w:t xml:space="preserve"> Microbiote</w:t>
      </w:r>
      <w:r>
        <w:rPr>
          <w:rFonts w:asciiTheme="minorHAnsi" w:eastAsiaTheme="minorEastAsia" w:hAnsiTheme="minorHAnsi" w:cstheme="minorHAnsi"/>
          <w:sz w:val="22"/>
          <w:szCs w:val="22"/>
        </w:rPr>
        <w:t>s</w:t>
      </w:r>
      <w:r w:rsidRPr="003F04D3">
        <w:rPr>
          <w:rFonts w:asciiTheme="minorHAnsi" w:eastAsiaTheme="minorEastAsia" w:hAnsiTheme="minorHAnsi" w:cstheme="minorHAnsi"/>
          <w:sz w:val="22"/>
          <w:szCs w:val="22"/>
        </w:rPr>
        <w:t xml:space="preserve"> montrent qu’il reste beaucoup à faire dans ce domaine-là. </w:t>
      </w:r>
    </w:p>
    <w:p w14:paraId="321043EE" w14:textId="77777777" w:rsidR="007134B6" w:rsidRDefault="007134B6" w:rsidP="007134B6">
      <w:pPr>
        <w:rPr>
          <w:rFonts w:asciiTheme="minorHAnsi" w:eastAsiaTheme="minorEastAsia" w:hAnsiTheme="minorHAnsi" w:cstheme="minorHAnsi"/>
          <w:b/>
          <w:bCs/>
          <w:lang w:val="fr-FR"/>
        </w:rPr>
      </w:pPr>
      <w:r w:rsidRPr="003F04D3">
        <w:rPr>
          <w:rFonts w:asciiTheme="minorHAnsi" w:eastAsiaTheme="minorEastAsia" w:hAnsiTheme="minorHAnsi" w:cstheme="minorHAnsi"/>
          <w:b/>
          <w:bCs/>
          <w:lang w:val="fr-FR"/>
        </w:rPr>
        <w:t xml:space="preserve"> </w:t>
      </w:r>
    </w:p>
    <w:p w14:paraId="350ADBD3" w14:textId="77777777" w:rsidR="007134B6" w:rsidRPr="008526BE" w:rsidRDefault="007134B6" w:rsidP="007134B6">
      <w:pPr>
        <w:jc w:val="both"/>
        <w:rPr>
          <w:rFonts w:asciiTheme="minorHAnsi" w:eastAsiaTheme="minorEastAsia" w:hAnsiTheme="minorHAnsi" w:cstheme="minorHAnsi"/>
          <w:b/>
          <w:bCs/>
          <w:color w:val="7030A0"/>
          <w:sz w:val="24"/>
          <w:szCs w:val="24"/>
          <w:u w:val="single"/>
          <w:lang w:val="fr-FR"/>
        </w:rPr>
      </w:pPr>
      <w:r w:rsidRPr="008526BE">
        <w:rPr>
          <w:rFonts w:asciiTheme="minorHAnsi" w:eastAsiaTheme="minorEastAsia" w:hAnsiTheme="minorHAnsi" w:cstheme="minorHAnsi"/>
          <w:b/>
          <w:bCs/>
          <w:color w:val="7030A0"/>
          <w:sz w:val="24"/>
          <w:szCs w:val="24"/>
          <w:u w:val="single"/>
          <w:lang w:val="fr-FR"/>
        </w:rPr>
        <w:t xml:space="preserve">Le microbiote expliqué par les professionnels de santé : la clé du succès pour adopter des bons comportements !  </w:t>
      </w:r>
    </w:p>
    <w:p w14:paraId="7CA009BC" w14:textId="77777777" w:rsidR="007134B6" w:rsidRDefault="007134B6" w:rsidP="007134B6">
      <w:pPr>
        <w:rPr>
          <w:rFonts w:asciiTheme="minorHAnsi" w:eastAsiaTheme="minorEastAsia" w:hAnsiTheme="minorHAnsi" w:cstheme="minorHAnsi"/>
          <w:b/>
          <w:bCs/>
        </w:rPr>
      </w:pPr>
    </w:p>
    <w:p w14:paraId="22A27A91" w14:textId="1CB7BFD9" w:rsidR="007134B6" w:rsidRPr="007134B6" w:rsidRDefault="00C30652" w:rsidP="007134B6">
      <w:pPr>
        <w:pStyle w:val="NormalWeb"/>
        <w:numPr>
          <w:ilvl w:val="0"/>
          <w:numId w:val="3"/>
        </w:numPr>
        <w:spacing w:before="0" w:beforeAutospacing="0" w:after="0" w:afterAutospacing="0" w:line="276" w:lineRule="auto"/>
        <w:jc w:val="both"/>
        <w:rPr>
          <w:rFonts w:asciiTheme="minorHAnsi" w:eastAsiaTheme="minorEastAsia" w:hAnsiTheme="minorHAnsi" w:cstheme="minorHAnsi"/>
          <w:sz w:val="22"/>
          <w:szCs w:val="22"/>
        </w:rPr>
      </w:pPr>
      <w:r>
        <w:rPr>
          <w:rFonts w:asciiTheme="minorHAnsi" w:eastAsiaTheme="minorEastAsia" w:hAnsiTheme="minorHAnsi" w:cstheme="minorHAnsi"/>
          <w:b/>
          <w:bCs/>
          <w:sz w:val="22"/>
          <w:szCs w:val="22"/>
        </w:rPr>
        <w:t>S</w:t>
      </w:r>
      <w:r w:rsidRPr="00C30652">
        <w:rPr>
          <w:rFonts w:asciiTheme="minorHAnsi" w:eastAsiaTheme="minorEastAsia" w:hAnsiTheme="minorHAnsi" w:cstheme="minorHAnsi"/>
          <w:b/>
          <w:bCs/>
          <w:sz w:val="22"/>
          <w:szCs w:val="22"/>
        </w:rPr>
        <w:t>eule 1 personne sur 3 déclare que son médecin lui a déjà appris ce qu’était le microbiote et ce à quoi il servait (37%).</w:t>
      </w:r>
      <w:r>
        <w:rPr>
          <w:rFonts w:asciiTheme="minorHAnsi" w:eastAsiaTheme="minorEastAsia" w:hAnsiTheme="minorHAnsi" w:cstheme="minorHAnsi"/>
          <w:b/>
          <w:bCs/>
          <w:sz w:val="22"/>
          <w:szCs w:val="22"/>
        </w:rPr>
        <w:t xml:space="preserve"> </w:t>
      </w:r>
      <w:r w:rsidR="007134B6" w:rsidRPr="00C30652">
        <w:rPr>
          <w:rFonts w:asciiTheme="minorHAnsi" w:eastAsiaTheme="minorEastAsia" w:hAnsiTheme="minorHAnsi" w:cstheme="minorHAnsi"/>
          <w:sz w:val="22"/>
          <w:szCs w:val="22"/>
        </w:rPr>
        <w:t xml:space="preserve">Moins d’1 patient sur 2 déclare que son médecin lui a déjà expliqué les bons comportements pour </w:t>
      </w:r>
      <w:r w:rsidRPr="00C30652">
        <w:rPr>
          <w:rFonts w:asciiTheme="minorHAnsi" w:eastAsiaTheme="minorEastAsia" w:hAnsiTheme="minorHAnsi" w:cstheme="minorHAnsi"/>
          <w:sz w:val="22"/>
          <w:szCs w:val="22"/>
        </w:rPr>
        <w:t>maintenir</w:t>
      </w:r>
      <w:r w:rsidR="007134B6" w:rsidRPr="00C30652">
        <w:rPr>
          <w:rFonts w:asciiTheme="minorHAnsi" w:eastAsiaTheme="minorEastAsia" w:hAnsiTheme="minorHAnsi" w:cstheme="minorHAnsi"/>
          <w:sz w:val="22"/>
          <w:szCs w:val="22"/>
        </w:rPr>
        <w:t xml:space="preserve"> son microbiote</w:t>
      </w:r>
      <w:r w:rsidRPr="00C30652">
        <w:rPr>
          <w:rFonts w:asciiTheme="minorHAnsi" w:eastAsiaTheme="minorEastAsia" w:hAnsiTheme="minorHAnsi" w:cstheme="minorHAnsi"/>
          <w:sz w:val="22"/>
          <w:szCs w:val="22"/>
        </w:rPr>
        <w:t xml:space="preserve"> équilibré</w:t>
      </w:r>
      <w:r w:rsidR="007134B6" w:rsidRPr="00C30652">
        <w:rPr>
          <w:rFonts w:asciiTheme="minorHAnsi" w:eastAsiaTheme="minorEastAsia" w:hAnsiTheme="minorHAnsi" w:cstheme="minorHAnsi"/>
          <w:sz w:val="22"/>
          <w:szCs w:val="22"/>
        </w:rPr>
        <w:t xml:space="preserve"> (44% mais </w:t>
      </w:r>
      <w:r w:rsidRPr="00C30652">
        <w:rPr>
          <w:rFonts w:asciiTheme="minorHAnsi" w:eastAsiaTheme="minorEastAsia" w:hAnsiTheme="minorHAnsi" w:cstheme="minorHAnsi"/>
          <w:sz w:val="22"/>
          <w:szCs w:val="22"/>
        </w:rPr>
        <w:t xml:space="preserve">seulement </w:t>
      </w:r>
      <w:r w:rsidR="007134B6" w:rsidRPr="00C30652">
        <w:rPr>
          <w:rFonts w:asciiTheme="minorHAnsi" w:eastAsiaTheme="minorEastAsia" w:hAnsiTheme="minorHAnsi" w:cstheme="minorHAnsi"/>
          <w:sz w:val="22"/>
          <w:szCs w:val="22"/>
        </w:rPr>
        <w:t>19% o</w:t>
      </w:r>
      <w:r w:rsidRPr="00C30652">
        <w:rPr>
          <w:rFonts w:asciiTheme="minorHAnsi" w:eastAsiaTheme="minorEastAsia" w:hAnsiTheme="minorHAnsi" w:cstheme="minorHAnsi"/>
          <w:sz w:val="22"/>
          <w:szCs w:val="22"/>
        </w:rPr>
        <w:t>nt</w:t>
      </w:r>
      <w:r w:rsidR="007134B6" w:rsidRPr="00C30652">
        <w:rPr>
          <w:rFonts w:asciiTheme="minorHAnsi" w:eastAsiaTheme="minorEastAsia" w:hAnsiTheme="minorHAnsi" w:cstheme="minorHAnsi"/>
          <w:sz w:val="22"/>
          <w:szCs w:val="22"/>
        </w:rPr>
        <w:t xml:space="preserve"> eu ces explications plus d’une fois).</w:t>
      </w:r>
      <w:r w:rsidR="007134B6" w:rsidRPr="007134B6">
        <w:rPr>
          <w:rFonts w:asciiTheme="minorHAnsi" w:eastAsiaTheme="minorEastAsia" w:hAnsiTheme="minorHAnsi" w:cstheme="minorHAnsi"/>
          <w:sz w:val="22"/>
          <w:szCs w:val="22"/>
        </w:rPr>
        <w:t xml:space="preserve"> </w:t>
      </w:r>
    </w:p>
    <w:p w14:paraId="4E44DD86" w14:textId="28BBA274" w:rsidR="007134B6" w:rsidRPr="007134B6" w:rsidRDefault="007134B6" w:rsidP="007134B6">
      <w:pPr>
        <w:pStyle w:val="NormalWeb"/>
        <w:numPr>
          <w:ilvl w:val="0"/>
          <w:numId w:val="3"/>
        </w:numPr>
        <w:spacing w:before="0" w:beforeAutospacing="0" w:after="0" w:afterAutospacing="0" w:line="276" w:lineRule="auto"/>
        <w:jc w:val="both"/>
        <w:rPr>
          <w:rFonts w:asciiTheme="minorHAnsi" w:eastAsiaTheme="minorEastAsia" w:hAnsiTheme="minorHAnsi" w:cstheme="minorHAnsi"/>
          <w:sz w:val="22"/>
          <w:szCs w:val="22"/>
        </w:rPr>
      </w:pPr>
      <w:r w:rsidRPr="007134B6">
        <w:rPr>
          <w:rFonts w:asciiTheme="minorHAnsi" w:eastAsiaTheme="minorEastAsia" w:hAnsiTheme="minorHAnsi" w:cstheme="minorHAnsi"/>
          <w:sz w:val="22"/>
          <w:szCs w:val="22"/>
        </w:rPr>
        <w:t>L’information délivrée par les médecins lors de la prescription d’antibiotiques illustre bien à quel point celle-ci reste encore insuffisante. Moins d’1 patient sur 2 dit avoir été informé par son médecin sur les risques d’éventuels troubles digestifs liés à la prise d’antibiotiques (41%). Seul 1</w:t>
      </w:r>
      <w:r w:rsidR="00037046">
        <w:rPr>
          <w:rFonts w:asciiTheme="minorHAnsi" w:eastAsiaTheme="minorEastAsia" w:hAnsiTheme="minorHAnsi" w:cstheme="minorHAnsi"/>
          <w:sz w:val="22"/>
          <w:szCs w:val="22"/>
        </w:rPr>
        <w:t xml:space="preserve"> patient</w:t>
      </w:r>
      <w:r w:rsidRPr="007134B6">
        <w:rPr>
          <w:rFonts w:asciiTheme="minorHAnsi" w:eastAsiaTheme="minorEastAsia" w:hAnsiTheme="minorHAnsi" w:cstheme="minorHAnsi"/>
          <w:sz w:val="22"/>
          <w:szCs w:val="22"/>
        </w:rPr>
        <w:t xml:space="preserve"> sur 3 déclare avoir reçu de son professionnel de santé des conseils pour limiter le plus possible les conséquences négatives de la prise d’antibiotiques sur ses microbiotes (34%) ou </w:t>
      </w:r>
      <w:r w:rsidR="00037046">
        <w:rPr>
          <w:rFonts w:asciiTheme="minorHAnsi" w:eastAsiaTheme="minorEastAsia" w:hAnsiTheme="minorHAnsi" w:cstheme="minorHAnsi"/>
          <w:sz w:val="22"/>
          <w:szCs w:val="22"/>
        </w:rPr>
        <w:t xml:space="preserve">avoir été </w:t>
      </w:r>
      <w:r w:rsidRPr="007134B6">
        <w:rPr>
          <w:rFonts w:asciiTheme="minorHAnsi" w:eastAsiaTheme="minorEastAsia" w:hAnsiTheme="minorHAnsi" w:cstheme="minorHAnsi"/>
          <w:sz w:val="22"/>
          <w:szCs w:val="22"/>
        </w:rPr>
        <w:t xml:space="preserve">informé que la prise d’antibiotiques pouvait avoir des conséquences négatives sur l’équilibre de ses microbiotes (33%). </w:t>
      </w:r>
    </w:p>
    <w:p w14:paraId="4D47A6F5" w14:textId="77777777" w:rsidR="00D108C2" w:rsidRDefault="00D108C2" w:rsidP="00D108C2">
      <w:pPr>
        <w:pStyle w:val="NormalWeb"/>
        <w:numPr>
          <w:ilvl w:val="0"/>
          <w:numId w:val="3"/>
        </w:numPr>
        <w:spacing w:before="0" w:beforeAutospacing="0" w:after="0" w:afterAutospacing="0" w:line="276" w:lineRule="auto"/>
        <w:jc w:val="both"/>
        <w:rPr>
          <w:rFonts w:asciiTheme="minorHAnsi" w:eastAsiaTheme="minorEastAsia" w:hAnsiTheme="minorHAnsi" w:cstheme="minorHAnsi"/>
          <w:sz w:val="22"/>
          <w:szCs w:val="22"/>
        </w:rPr>
      </w:pPr>
      <w:r w:rsidRPr="007134B6">
        <w:rPr>
          <w:rFonts w:asciiTheme="minorHAnsi" w:eastAsiaTheme="minorEastAsia" w:hAnsiTheme="minorHAnsi" w:cstheme="minorHAnsi"/>
          <w:b/>
          <w:bCs/>
          <w:sz w:val="22"/>
          <w:szCs w:val="22"/>
        </w:rPr>
        <w:t>En revanche, à partir du moment où un patient a eu l’ensemble des informations et de manière répétée sur le sujet, son rapport au microbiote change beaucoup.</w:t>
      </w:r>
      <w:r w:rsidRPr="007134B6">
        <w:rPr>
          <w:rFonts w:asciiTheme="minorHAnsi" w:eastAsiaTheme="minorEastAsia" w:hAnsiTheme="minorHAnsi" w:cstheme="minorHAnsi"/>
          <w:b/>
          <w:bCs/>
        </w:rPr>
        <w:t xml:space="preserve"> </w:t>
      </w:r>
      <w:r w:rsidRPr="007134B6">
        <w:rPr>
          <w:rFonts w:asciiTheme="minorHAnsi" w:eastAsiaTheme="minorEastAsia" w:hAnsiTheme="minorHAnsi" w:cstheme="minorHAnsi"/>
          <w:sz w:val="22"/>
          <w:szCs w:val="22"/>
        </w:rPr>
        <w:t xml:space="preserve">Plus de 9 personnes sur 10 (95%) ayant bénéficié de l’information auprès de leur professionnel de santé ont par la suite adopté un comportement pour maintenir un microbiote équilibré contre 57% des personnes n’ayant pas été informées. </w:t>
      </w:r>
    </w:p>
    <w:p w14:paraId="4C9D8F11" w14:textId="77777777" w:rsidR="0013232A" w:rsidRPr="007134B6" w:rsidRDefault="0013232A" w:rsidP="0013232A">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p>
    <w:p w14:paraId="54A343D8" w14:textId="072AAD1B" w:rsidR="007134B6" w:rsidRPr="008526BE" w:rsidRDefault="007134B6" w:rsidP="007134B6">
      <w:pPr>
        <w:jc w:val="both"/>
        <w:rPr>
          <w:rFonts w:asciiTheme="minorHAnsi" w:eastAsiaTheme="minorEastAsia" w:hAnsiTheme="minorHAnsi" w:cstheme="minorHAnsi"/>
          <w:b/>
          <w:bCs/>
          <w:color w:val="7030A0"/>
          <w:sz w:val="24"/>
          <w:szCs w:val="24"/>
          <w:u w:val="single"/>
          <w:lang w:val="fr-FR"/>
        </w:rPr>
      </w:pPr>
      <w:r w:rsidRPr="008526BE">
        <w:rPr>
          <w:rFonts w:asciiTheme="minorHAnsi" w:eastAsiaTheme="minorEastAsia" w:hAnsiTheme="minorHAnsi" w:cstheme="minorHAnsi"/>
          <w:b/>
          <w:bCs/>
          <w:color w:val="7030A0"/>
          <w:sz w:val="24"/>
          <w:szCs w:val="24"/>
          <w:u w:val="single"/>
          <w:lang w:val="fr-FR"/>
        </w:rPr>
        <w:t>Des seniors peu informés alors qu’ils sont plus fragiles !</w:t>
      </w:r>
    </w:p>
    <w:p w14:paraId="166EA830" w14:textId="77777777" w:rsidR="007134B6" w:rsidRDefault="007134B6" w:rsidP="0013232A">
      <w:pPr>
        <w:pStyle w:val="NormalWeb"/>
        <w:spacing w:before="0" w:beforeAutospacing="0" w:after="0" w:afterAutospacing="0" w:line="276" w:lineRule="auto"/>
        <w:jc w:val="both"/>
        <w:rPr>
          <w:rFonts w:asciiTheme="minorHAnsi" w:eastAsiaTheme="minorEastAsia" w:hAnsiTheme="minorHAnsi" w:cstheme="minorHAnsi"/>
          <w:szCs w:val="22"/>
        </w:rPr>
      </w:pPr>
    </w:p>
    <w:p w14:paraId="363183B2" w14:textId="14AE4598" w:rsidR="0013232A" w:rsidRDefault="007134B6" w:rsidP="0013232A">
      <w:pPr>
        <w:pStyle w:val="NormalWeb"/>
        <w:numPr>
          <w:ilvl w:val="0"/>
          <w:numId w:val="4"/>
        </w:numPr>
        <w:spacing w:before="0" w:beforeAutospacing="0" w:after="0" w:afterAutospacing="0" w:line="276" w:lineRule="auto"/>
        <w:jc w:val="both"/>
        <w:rPr>
          <w:rFonts w:asciiTheme="minorHAnsi" w:eastAsiaTheme="minorEastAsia" w:hAnsiTheme="minorHAnsi" w:cstheme="minorHAnsi"/>
          <w:sz w:val="22"/>
          <w:szCs w:val="22"/>
        </w:rPr>
      </w:pPr>
      <w:r w:rsidRPr="0013232A">
        <w:rPr>
          <w:rFonts w:asciiTheme="minorHAnsi" w:eastAsiaTheme="minorEastAsia" w:hAnsiTheme="minorHAnsi" w:cstheme="minorHAnsi"/>
          <w:b/>
          <w:bCs/>
          <w:sz w:val="22"/>
          <w:szCs w:val="22"/>
        </w:rPr>
        <w:t>Alors même qu’ils sont à un âge où les problèmes de santé liés au vieillissement vont, pour bon nombre d’entre eux, devenir de plus en plus présents, les seniors (les personnes âgées de 60 ans et plus) sont ceux qui savent le moins ce qu’est précisément le microbiote intestinal (20%, -4 p</w:t>
      </w:r>
      <w:r w:rsidR="00037046">
        <w:rPr>
          <w:rFonts w:asciiTheme="minorHAnsi" w:eastAsiaTheme="minorEastAsia" w:hAnsiTheme="minorHAnsi" w:cstheme="minorHAnsi"/>
          <w:b/>
          <w:bCs/>
          <w:sz w:val="22"/>
          <w:szCs w:val="22"/>
        </w:rPr>
        <w:t>oin</w:t>
      </w:r>
      <w:r w:rsidRPr="0013232A">
        <w:rPr>
          <w:rFonts w:asciiTheme="minorHAnsi" w:eastAsiaTheme="minorEastAsia" w:hAnsiTheme="minorHAnsi" w:cstheme="minorHAnsi"/>
          <w:b/>
          <w:bCs/>
          <w:sz w:val="22"/>
          <w:szCs w:val="22"/>
        </w:rPr>
        <w:t>ts par rapport au global)</w:t>
      </w:r>
      <w:r w:rsidR="0013232A" w:rsidRPr="0013232A">
        <w:rPr>
          <w:rFonts w:asciiTheme="minorHAnsi" w:eastAsiaTheme="minorEastAsia" w:hAnsiTheme="minorHAnsi" w:cstheme="minorHAnsi"/>
          <w:b/>
          <w:bCs/>
          <w:sz w:val="22"/>
          <w:szCs w:val="22"/>
        </w:rPr>
        <w:t>.</w:t>
      </w:r>
    </w:p>
    <w:p w14:paraId="2E36F070" w14:textId="1AD69C29" w:rsidR="007134B6" w:rsidRDefault="007134B6" w:rsidP="0013232A">
      <w:pPr>
        <w:pStyle w:val="NormalWeb"/>
        <w:numPr>
          <w:ilvl w:val="0"/>
          <w:numId w:val="4"/>
        </w:numPr>
        <w:spacing w:before="0" w:beforeAutospacing="0" w:after="0" w:afterAutospacing="0" w:line="276" w:lineRule="auto"/>
        <w:jc w:val="both"/>
        <w:rPr>
          <w:rFonts w:asciiTheme="minorHAnsi" w:eastAsiaTheme="minorEastAsia" w:hAnsiTheme="minorHAnsi" w:cstheme="minorHAnsi"/>
          <w:sz w:val="22"/>
          <w:szCs w:val="22"/>
        </w:rPr>
      </w:pPr>
      <w:r w:rsidRPr="0081460D">
        <w:rPr>
          <w:rFonts w:asciiTheme="minorHAnsi" w:eastAsiaTheme="minorEastAsia" w:hAnsiTheme="minorHAnsi" w:cstheme="minorHAnsi"/>
          <w:sz w:val="22"/>
          <w:szCs w:val="22"/>
        </w:rPr>
        <w:t xml:space="preserve">Ils sont aussi ceux qui ont le moins adopté de comportements pour garder leur microbiote équilibré (seulement 50% contre 57% au global). </w:t>
      </w:r>
    </w:p>
    <w:p w14:paraId="0CB2B89B" w14:textId="2D861AF5" w:rsidR="007134B6" w:rsidRPr="0081460D" w:rsidRDefault="007134B6" w:rsidP="0013232A">
      <w:pPr>
        <w:pStyle w:val="NormalWeb"/>
        <w:numPr>
          <w:ilvl w:val="0"/>
          <w:numId w:val="4"/>
        </w:numPr>
        <w:spacing w:before="0" w:beforeAutospacing="0" w:after="0" w:afterAutospacing="0" w:line="276" w:lineRule="auto"/>
        <w:jc w:val="both"/>
        <w:rPr>
          <w:rFonts w:asciiTheme="minorHAnsi" w:eastAsiaTheme="minorEastAsia" w:hAnsiTheme="minorHAnsi" w:cstheme="minorHAnsi"/>
          <w:sz w:val="22"/>
          <w:szCs w:val="22"/>
        </w:rPr>
      </w:pPr>
      <w:r w:rsidRPr="0081460D">
        <w:rPr>
          <w:rFonts w:asciiTheme="minorHAnsi" w:eastAsiaTheme="minorEastAsia" w:hAnsiTheme="minorHAnsi" w:cstheme="minorHAnsi"/>
          <w:sz w:val="22"/>
          <w:szCs w:val="22"/>
        </w:rPr>
        <w:t>Là encore, face à ce décalage, les médecins ont un rôle essentiel à jouer pour amener les seniors à changer leurs comportements. Or, ce sont des sujets dont ils parlent peu. Seul 1</w:t>
      </w:r>
      <w:r>
        <w:rPr>
          <w:rFonts w:asciiTheme="minorHAnsi" w:eastAsiaTheme="minorEastAsia" w:hAnsiTheme="minorHAnsi" w:cstheme="minorHAnsi"/>
          <w:sz w:val="22"/>
          <w:szCs w:val="22"/>
        </w:rPr>
        <w:t xml:space="preserve"> s</w:t>
      </w:r>
      <w:r w:rsidR="003D3C77">
        <w:rPr>
          <w:rFonts w:asciiTheme="minorHAnsi" w:eastAsiaTheme="minorEastAsia" w:hAnsiTheme="minorHAnsi" w:cstheme="minorHAnsi"/>
          <w:sz w:val="22"/>
          <w:szCs w:val="22"/>
        </w:rPr>
        <w:t>é</w:t>
      </w:r>
      <w:r>
        <w:rPr>
          <w:rFonts w:asciiTheme="minorHAnsi" w:eastAsiaTheme="minorEastAsia" w:hAnsiTheme="minorHAnsi" w:cstheme="minorHAnsi"/>
          <w:sz w:val="22"/>
          <w:szCs w:val="22"/>
        </w:rPr>
        <w:t>nior</w:t>
      </w:r>
      <w:r w:rsidRPr="0081460D">
        <w:rPr>
          <w:rFonts w:asciiTheme="minorHAnsi" w:eastAsiaTheme="minorEastAsia" w:hAnsiTheme="minorHAnsi" w:cstheme="minorHAnsi"/>
          <w:sz w:val="22"/>
          <w:szCs w:val="22"/>
        </w:rPr>
        <w:t xml:space="preserve"> sur 3 s’est déjà vu expliquer par son médecin les bons comportements à avoir pour conserver un bon équilibre de son microbiote (32% contre 58% pour les 25-34 ans). 1 </w:t>
      </w:r>
      <w:r w:rsidR="00037046">
        <w:rPr>
          <w:rFonts w:asciiTheme="minorHAnsi" w:eastAsiaTheme="minorEastAsia" w:hAnsiTheme="minorHAnsi" w:cstheme="minorHAnsi"/>
          <w:sz w:val="22"/>
          <w:szCs w:val="22"/>
        </w:rPr>
        <w:t xml:space="preserve">sénior </w:t>
      </w:r>
      <w:r w:rsidRPr="0081460D">
        <w:rPr>
          <w:rFonts w:asciiTheme="minorHAnsi" w:eastAsiaTheme="minorEastAsia" w:hAnsiTheme="minorHAnsi" w:cstheme="minorHAnsi"/>
          <w:sz w:val="22"/>
          <w:szCs w:val="22"/>
        </w:rPr>
        <w:t xml:space="preserve">sur 4 dit avoir déjà eu des explications sur ce qu’est le microbiote (26% contre 50% pour les 25-34 ans). Il y a urgence à changer la donne. </w:t>
      </w:r>
    </w:p>
    <w:p w14:paraId="1E2144AF" w14:textId="39C5E6E8" w:rsidR="007134B6" w:rsidRDefault="007134B6" w:rsidP="007134B6">
      <w:pPr>
        <w:spacing w:line="240" w:lineRule="auto"/>
        <w:jc w:val="both"/>
        <w:rPr>
          <w:rFonts w:asciiTheme="minorHAnsi" w:eastAsiaTheme="minorEastAsia" w:hAnsiTheme="minorHAnsi" w:cstheme="minorHAnsi"/>
          <w:lang w:val="fr-FR"/>
        </w:rPr>
      </w:pPr>
    </w:p>
    <w:p w14:paraId="0706EDD2" w14:textId="77777777" w:rsidR="009014A4" w:rsidRPr="0079225D" w:rsidRDefault="009014A4" w:rsidP="0079225D">
      <w:pPr>
        <w:jc w:val="both"/>
        <w:rPr>
          <w:rFonts w:asciiTheme="minorHAnsi" w:eastAsiaTheme="minorEastAsia" w:hAnsiTheme="minorHAnsi" w:cstheme="minorHAnsi"/>
          <w:b/>
          <w:bCs/>
          <w:color w:val="7030A0"/>
          <w:sz w:val="24"/>
          <w:szCs w:val="24"/>
          <w:u w:val="single"/>
          <w:lang w:val="fr-FR"/>
        </w:rPr>
      </w:pPr>
    </w:p>
    <w:p w14:paraId="2FDE3601" w14:textId="174165F6" w:rsidR="009014A4" w:rsidRPr="0079225D" w:rsidRDefault="009014A4" w:rsidP="0079225D">
      <w:pPr>
        <w:jc w:val="both"/>
        <w:rPr>
          <w:rFonts w:asciiTheme="minorHAnsi" w:eastAsiaTheme="minorEastAsia" w:hAnsiTheme="minorHAnsi" w:cstheme="minorHAnsi"/>
          <w:b/>
          <w:bCs/>
          <w:color w:val="7030A0"/>
          <w:sz w:val="24"/>
          <w:szCs w:val="24"/>
          <w:u w:val="single"/>
          <w:lang w:val="fr-FR"/>
        </w:rPr>
      </w:pPr>
      <w:r w:rsidRPr="00673D4D">
        <w:rPr>
          <w:rFonts w:asciiTheme="minorHAnsi" w:eastAsiaTheme="minorEastAsia" w:hAnsiTheme="minorHAnsi" w:cstheme="minorHAnsi"/>
          <w:b/>
          <w:bCs/>
          <w:color w:val="7030A0"/>
          <w:sz w:val="24"/>
          <w:szCs w:val="24"/>
          <w:u w:val="single"/>
          <w:lang w:val="fr-FR"/>
        </w:rPr>
        <w:t>Les Espagnols ont des connaissance</w:t>
      </w:r>
      <w:r w:rsidR="00673D4D" w:rsidRPr="00673D4D">
        <w:rPr>
          <w:rFonts w:asciiTheme="minorHAnsi" w:eastAsiaTheme="minorEastAsia" w:hAnsiTheme="minorHAnsi" w:cstheme="minorHAnsi"/>
          <w:b/>
          <w:bCs/>
          <w:color w:val="7030A0"/>
          <w:sz w:val="24"/>
          <w:szCs w:val="24"/>
          <w:u w:val="single"/>
          <w:lang w:val="fr-FR"/>
        </w:rPr>
        <w:t>s</w:t>
      </w:r>
      <w:r w:rsidRPr="00673D4D">
        <w:rPr>
          <w:rFonts w:asciiTheme="minorHAnsi" w:eastAsiaTheme="minorEastAsia" w:hAnsiTheme="minorHAnsi" w:cstheme="minorHAnsi"/>
          <w:b/>
          <w:bCs/>
          <w:color w:val="7030A0"/>
          <w:sz w:val="24"/>
          <w:szCs w:val="24"/>
          <w:u w:val="single"/>
          <w:lang w:val="fr-FR"/>
        </w:rPr>
        <w:t xml:space="preserve"> très médiocres sur les microbiotes et sur les comportements à adopter pour les préserver le mieux possible</w:t>
      </w:r>
      <w:r w:rsidR="0079225D" w:rsidRPr="00673D4D">
        <w:rPr>
          <w:rFonts w:asciiTheme="minorHAnsi" w:eastAsiaTheme="minorEastAsia" w:hAnsiTheme="minorHAnsi" w:cstheme="minorHAnsi"/>
          <w:b/>
          <w:bCs/>
          <w:color w:val="7030A0"/>
          <w:sz w:val="24"/>
          <w:szCs w:val="24"/>
          <w:u w:val="single"/>
          <w:lang w:val="fr-FR"/>
        </w:rPr>
        <w:t> : ils font assez peu le lien entre leurs problèmes de santé et leurs microbiotes.</w:t>
      </w:r>
      <w:r w:rsidR="0079225D" w:rsidRPr="0079225D">
        <w:rPr>
          <w:rFonts w:asciiTheme="minorHAnsi" w:eastAsiaTheme="minorEastAsia" w:hAnsiTheme="minorHAnsi" w:cstheme="minorHAnsi"/>
          <w:b/>
          <w:bCs/>
          <w:color w:val="7030A0"/>
          <w:sz w:val="24"/>
          <w:szCs w:val="24"/>
          <w:u w:val="single"/>
          <w:lang w:val="fr-FR"/>
        </w:rPr>
        <w:t xml:space="preserve"> </w:t>
      </w:r>
    </w:p>
    <w:p w14:paraId="7ACA9E59" w14:textId="77777777" w:rsidR="009014A4" w:rsidRDefault="009014A4" w:rsidP="009014A4">
      <w:pPr>
        <w:pStyle w:val="NormalWeb"/>
        <w:spacing w:before="0" w:beforeAutospacing="0" w:after="0" w:afterAutospacing="0"/>
        <w:jc w:val="both"/>
        <w:rPr>
          <w:rFonts w:asciiTheme="minorHAnsi" w:eastAsiaTheme="minorEastAsia" w:hAnsiTheme="minorHAnsi" w:cstheme="minorHAnsi"/>
          <w:szCs w:val="22"/>
        </w:rPr>
      </w:pPr>
    </w:p>
    <w:p w14:paraId="0D199A88" w14:textId="705A8439" w:rsidR="009014A4" w:rsidRPr="00673D4D" w:rsidRDefault="009014A4" w:rsidP="009014A4">
      <w:pPr>
        <w:pStyle w:val="NormalWeb"/>
        <w:numPr>
          <w:ilvl w:val="0"/>
          <w:numId w:val="13"/>
        </w:numPr>
        <w:spacing w:before="0" w:beforeAutospacing="0" w:after="0" w:afterAutospacing="0"/>
        <w:jc w:val="both"/>
        <w:rPr>
          <w:rFonts w:asciiTheme="minorHAnsi" w:eastAsiaTheme="minorEastAsia" w:hAnsiTheme="minorHAnsi" w:cstheme="minorHAnsi"/>
          <w:sz w:val="22"/>
          <w:szCs w:val="22"/>
        </w:rPr>
      </w:pPr>
      <w:r w:rsidRPr="00673D4D">
        <w:rPr>
          <w:rFonts w:asciiTheme="minorHAnsi" w:eastAsiaTheme="minorEastAsia" w:hAnsiTheme="minorHAnsi" w:cstheme="minorHAnsi"/>
          <w:b/>
          <w:bCs/>
          <w:sz w:val="22"/>
          <w:szCs w:val="22"/>
        </w:rPr>
        <w:t>Les Espagnols font aussi partie des pays qui en savent le moins sur le microbiote, tout comme les Français, les Américains et dans une moindre mesure, les Portugais</w:t>
      </w:r>
      <w:r w:rsidRPr="00673D4D">
        <w:rPr>
          <w:rFonts w:asciiTheme="minorHAnsi" w:eastAsiaTheme="minorEastAsia" w:hAnsiTheme="minorHAnsi" w:cstheme="minorHAnsi"/>
          <w:sz w:val="22"/>
          <w:szCs w:val="22"/>
        </w:rPr>
        <w:t xml:space="preserve">. Ainsi, seule une minorité d’Espagnols sait ce que signifie précisément </w:t>
      </w:r>
      <w:r w:rsidR="00037046">
        <w:rPr>
          <w:rFonts w:asciiTheme="minorHAnsi" w:eastAsiaTheme="minorEastAsia" w:hAnsiTheme="minorHAnsi" w:cstheme="minorHAnsi"/>
          <w:sz w:val="22"/>
          <w:szCs w:val="22"/>
        </w:rPr>
        <w:t>l</w:t>
      </w:r>
      <w:r w:rsidRPr="00673D4D">
        <w:rPr>
          <w:rFonts w:asciiTheme="minorHAnsi" w:eastAsiaTheme="minorEastAsia" w:hAnsiTheme="minorHAnsi" w:cstheme="minorHAnsi"/>
          <w:sz w:val="22"/>
          <w:szCs w:val="22"/>
        </w:rPr>
        <w:t>es termes comme « dysbiose » (seulement 6% contre 10% au global), « probiotique » (38% contre 43% au global)</w:t>
      </w:r>
      <w:r w:rsidR="00673D4D" w:rsidRPr="00673D4D">
        <w:rPr>
          <w:rFonts w:asciiTheme="minorHAnsi" w:eastAsiaTheme="minorEastAsia" w:hAnsiTheme="minorHAnsi" w:cstheme="minorHAnsi"/>
          <w:sz w:val="22"/>
          <w:szCs w:val="22"/>
        </w:rPr>
        <w:t>.</w:t>
      </w:r>
    </w:p>
    <w:p w14:paraId="77CE1D0D" w14:textId="77777777" w:rsidR="009014A4" w:rsidRPr="00673D4D" w:rsidRDefault="009014A4" w:rsidP="009014A4">
      <w:pPr>
        <w:pStyle w:val="NormalWeb"/>
        <w:spacing w:before="0" w:beforeAutospacing="0" w:after="0" w:afterAutospacing="0"/>
        <w:jc w:val="both"/>
        <w:rPr>
          <w:rFonts w:asciiTheme="minorHAnsi" w:eastAsiaTheme="minorEastAsia" w:hAnsiTheme="minorHAnsi" w:cstheme="minorHAnsi"/>
          <w:szCs w:val="22"/>
        </w:rPr>
      </w:pPr>
    </w:p>
    <w:p w14:paraId="560D26EC" w14:textId="4CA901F8" w:rsidR="004F19BB" w:rsidRPr="00673D4D" w:rsidRDefault="009014A4" w:rsidP="004F19BB">
      <w:pPr>
        <w:pStyle w:val="NormalWeb"/>
        <w:numPr>
          <w:ilvl w:val="0"/>
          <w:numId w:val="13"/>
        </w:numPr>
        <w:spacing w:before="0" w:beforeAutospacing="0" w:after="0" w:afterAutospacing="0"/>
        <w:jc w:val="both"/>
        <w:rPr>
          <w:rFonts w:asciiTheme="minorHAnsi" w:eastAsiaTheme="minorEastAsia" w:hAnsiTheme="minorHAnsi" w:cstheme="minorHAnsi"/>
          <w:sz w:val="22"/>
          <w:szCs w:val="22"/>
        </w:rPr>
      </w:pPr>
      <w:r w:rsidRPr="00673D4D">
        <w:rPr>
          <w:rFonts w:asciiTheme="minorHAnsi" w:eastAsiaTheme="minorEastAsia" w:hAnsiTheme="minorHAnsi" w:cstheme="minorHAnsi"/>
          <w:b/>
          <w:bCs/>
          <w:sz w:val="22"/>
          <w:szCs w:val="22"/>
        </w:rPr>
        <w:t>Leurs connaissances sur les différents comportements qu’il convient d’adopter pour préserver l’équilibre de son microbiote sont médiocres</w:t>
      </w:r>
      <w:r w:rsidRPr="00673D4D">
        <w:rPr>
          <w:rFonts w:asciiTheme="minorHAnsi" w:eastAsiaTheme="minorEastAsia" w:hAnsiTheme="minorHAnsi" w:cstheme="minorHAnsi"/>
          <w:sz w:val="22"/>
          <w:szCs w:val="22"/>
        </w:rPr>
        <w:t xml:space="preserve"> mais au-dessus de la moyenne des autres pays (4,2/7 contre 4/7 au global). Pour autant, ils ne les appliquent pas vraiment et font partie de ceux qui déclarent le moins avoir adopté des comportements pour conserver leur microbiote le plus équilibré possible (54% contre 57% au global). </w:t>
      </w:r>
    </w:p>
    <w:p w14:paraId="2072C905" w14:textId="77777777" w:rsidR="004F19BB" w:rsidRDefault="004F19BB" w:rsidP="004F19BB">
      <w:pPr>
        <w:pStyle w:val="Paragraphedeliste"/>
        <w:rPr>
          <w:rFonts w:asciiTheme="minorHAnsi" w:eastAsiaTheme="minorEastAsia" w:hAnsiTheme="minorHAnsi" w:cstheme="minorHAnsi"/>
        </w:rPr>
      </w:pPr>
    </w:p>
    <w:p w14:paraId="6E9697FC" w14:textId="09D4B55C" w:rsidR="004F19BB" w:rsidRPr="00673D4D" w:rsidRDefault="004F19BB" w:rsidP="004F19BB">
      <w:pPr>
        <w:pStyle w:val="NormalWeb"/>
        <w:numPr>
          <w:ilvl w:val="0"/>
          <w:numId w:val="13"/>
        </w:numPr>
        <w:spacing w:before="0" w:beforeAutospacing="0" w:after="0" w:afterAutospacing="0" w:line="276" w:lineRule="auto"/>
        <w:jc w:val="both"/>
        <w:rPr>
          <w:rFonts w:asciiTheme="minorHAnsi" w:eastAsiaTheme="minorEastAsia" w:hAnsiTheme="minorHAnsi" w:cstheme="minorHAnsi"/>
          <w:sz w:val="22"/>
          <w:szCs w:val="22"/>
        </w:rPr>
      </w:pPr>
      <w:r w:rsidRPr="00673D4D">
        <w:rPr>
          <w:rFonts w:asciiTheme="minorHAnsi" w:hAnsiTheme="minorHAnsi" w:cstheme="minorHAnsi"/>
          <w:b/>
          <w:bCs/>
          <w:sz w:val="22"/>
          <w:szCs w:val="22"/>
        </w:rPr>
        <w:t>Les Espagnols font rarement le lien entre certains problèmes de santé et leur microbiote.</w:t>
      </w:r>
      <w:r w:rsidRPr="00673D4D">
        <w:rPr>
          <w:rFonts w:asciiTheme="minorHAnsi" w:hAnsiTheme="minorHAnsi" w:cstheme="minorHAnsi"/>
          <w:sz w:val="22"/>
          <w:szCs w:val="22"/>
        </w:rPr>
        <w:t xml:space="preserve"> Sur les 8 problèmes médicaux testés, il n’y en a qu’un pour lequel une majorité d’Espagnols qui en souffrent font le lien avec le microbiote. C’est le cas pour les diarrhées </w:t>
      </w:r>
      <w:hyperlink r:id="rId11" w:tooltip="Diarrhée associée aux antibiotiques" w:history="1">
        <w:r w:rsidRPr="00673D4D">
          <w:t>post-antibiotiques</w:t>
        </w:r>
      </w:hyperlink>
      <w:r w:rsidRPr="00673D4D">
        <w:rPr>
          <w:rFonts w:asciiTheme="minorHAnsi" w:hAnsiTheme="minorHAnsi" w:cstheme="minorHAnsi"/>
          <w:sz w:val="22"/>
          <w:szCs w:val="22"/>
        </w:rPr>
        <w:t xml:space="preserve"> (53%). Pour tous les autres problèmes de santé, les Espagnols ne font jamais majoritairement le lien avec leur microbiote. C’est le cas des infections uro-génitales (40%), des épisodes de troubles</w:t>
      </w:r>
      <w:r w:rsidRPr="00673D4D">
        <w:rPr>
          <w:rFonts w:asciiTheme="minorHAnsi" w:hAnsiTheme="minorHAnsi" w:cstheme="minorHAnsi"/>
          <w:bCs/>
          <w:sz w:val="22"/>
          <w:szCs w:val="22"/>
        </w:rPr>
        <w:t xml:space="preserve"> intestinaux (46%) ou encore les troubles du système digestif</w:t>
      </w:r>
      <w:r w:rsidRPr="00673D4D">
        <w:rPr>
          <w:rFonts w:asciiTheme="minorHAnsi" w:hAnsiTheme="minorHAnsi" w:cstheme="minorHAnsi"/>
          <w:sz w:val="22"/>
          <w:szCs w:val="22"/>
        </w:rPr>
        <w:t xml:space="preserve"> (44%) et des gastroentérites (seulement 34% de ceux qui en souffrent font le lien). </w:t>
      </w:r>
    </w:p>
    <w:p w14:paraId="0ABD6FB2" w14:textId="31071923" w:rsidR="004F19BB" w:rsidRDefault="004F19BB" w:rsidP="004F19BB">
      <w:pPr>
        <w:pStyle w:val="NormalWeb"/>
        <w:spacing w:before="0" w:beforeAutospacing="0" w:after="0" w:afterAutospacing="0"/>
        <w:ind w:left="720"/>
        <w:jc w:val="both"/>
        <w:rPr>
          <w:rFonts w:asciiTheme="minorHAnsi" w:eastAsiaTheme="minorEastAsia" w:hAnsiTheme="minorHAnsi" w:cstheme="minorHAnsi"/>
          <w:sz w:val="22"/>
          <w:szCs w:val="22"/>
        </w:rPr>
      </w:pPr>
    </w:p>
    <w:p w14:paraId="0426E86F" w14:textId="3CE5E47A" w:rsidR="004F19BB" w:rsidRPr="00673D4D" w:rsidRDefault="004F19BB" w:rsidP="004F19BB">
      <w:pPr>
        <w:pStyle w:val="NormalWeb"/>
        <w:numPr>
          <w:ilvl w:val="0"/>
          <w:numId w:val="4"/>
        </w:numPr>
        <w:spacing w:before="0" w:beforeAutospacing="0" w:after="0" w:afterAutospacing="0" w:line="276" w:lineRule="auto"/>
        <w:jc w:val="both"/>
        <w:rPr>
          <w:rFonts w:asciiTheme="minorHAnsi" w:eastAsiaTheme="minorEastAsia" w:hAnsiTheme="minorHAnsi" w:cstheme="minorHAnsi"/>
          <w:sz w:val="22"/>
          <w:szCs w:val="22"/>
        </w:rPr>
      </w:pPr>
      <w:r w:rsidRPr="00673D4D">
        <w:rPr>
          <w:rFonts w:asciiTheme="minorHAnsi" w:hAnsiTheme="minorHAnsi" w:cstheme="minorHAnsi"/>
          <w:b/>
          <w:bCs/>
          <w:sz w:val="22"/>
          <w:szCs w:val="22"/>
        </w:rPr>
        <w:t xml:space="preserve">Surtout, les Espagnols échangent rarement avec les professionnels de santé sur ce sujet, </w:t>
      </w:r>
      <w:r w:rsidRPr="00673D4D">
        <w:rPr>
          <w:rFonts w:asciiTheme="minorHAnsi" w:hAnsiTheme="minorHAnsi" w:cstheme="minorHAnsi"/>
          <w:sz w:val="22"/>
          <w:szCs w:val="22"/>
        </w:rPr>
        <w:t xml:space="preserve">ainsi ils déclarent beaucoup moins que la moyenne se faire prescrire des probiotiques et des prébiotiques par leur médecin (36% contre 46% au global), s’être fait </w:t>
      </w:r>
      <w:r w:rsidRPr="00673D4D">
        <w:rPr>
          <w:rFonts w:asciiTheme="minorHAnsi" w:hAnsiTheme="minorHAnsi" w:cstheme="minorHAnsi"/>
          <w:bCs/>
          <w:sz w:val="22"/>
          <w:szCs w:val="22"/>
        </w:rPr>
        <w:t>expliquer les bons comportements à avoir pour maintenir le plus possible un bon équilibre au sein de votre microbiote (33% contre 44% au global) ou encore avoir été sensibilisés sur l’importance de préserver le plus possible l’équilibre de votre microbiote (</w:t>
      </w:r>
      <w:r w:rsidR="0079225D" w:rsidRPr="00673D4D">
        <w:rPr>
          <w:rFonts w:asciiTheme="minorHAnsi" w:hAnsiTheme="minorHAnsi" w:cstheme="minorHAnsi"/>
          <w:bCs/>
          <w:sz w:val="22"/>
          <w:szCs w:val="22"/>
        </w:rPr>
        <w:t>31</w:t>
      </w:r>
      <w:r w:rsidRPr="00673D4D">
        <w:rPr>
          <w:rFonts w:asciiTheme="minorHAnsi" w:hAnsiTheme="minorHAnsi" w:cstheme="minorHAnsi"/>
          <w:bCs/>
          <w:sz w:val="22"/>
          <w:szCs w:val="22"/>
        </w:rPr>
        <w:t xml:space="preserve">% contre 42% au global). </w:t>
      </w:r>
    </w:p>
    <w:p w14:paraId="5A7AF901" w14:textId="77777777" w:rsidR="00A10B55" w:rsidRPr="00673D4D" w:rsidRDefault="00A10B55" w:rsidP="00A10B55">
      <w:pPr>
        <w:pStyle w:val="NormalWeb"/>
        <w:spacing w:before="0" w:beforeAutospacing="0" w:after="0" w:afterAutospacing="0" w:line="276" w:lineRule="auto"/>
        <w:ind w:left="720"/>
        <w:jc w:val="both"/>
        <w:rPr>
          <w:rFonts w:asciiTheme="minorHAnsi" w:eastAsiaTheme="minorEastAsia" w:hAnsiTheme="minorHAnsi" w:cstheme="minorHAnsi"/>
          <w:sz w:val="22"/>
          <w:szCs w:val="22"/>
        </w:rPr>
      </w:pPr>
    </w:p>
    <w:p w14:paraId="3F7D2D49" w14:textId="382FA453" w:rsidR="00A10B55" w:rsidRPr="00673D4D" w:rsidRDefault="00A10B55" w:rsidP="00A10B55">
      <w:pPr>
        <w:pStyle w:val="NormalWeb"/>
        <w:numPr>
          <w:ilvl w:val="0"/>
          <w:numId w:val="4"/>
        </w:numPr>
        <w:spacing w:before="0" w:beforeAutospacing="0" w:after="0" w:afterAutospacing="0" w:line="276" w:lineRule="auto"/>
        <w:jc w:val="both"/>
        <w:rPr>
          <w:rFonts w:asciiTheme="minorHAnsi" w:eastAsiaTheme="minorEastAsia" w:hAnsiTheme="minorHAnsi" w:cstheme="minorHAnsi"/>
          <w:b/>
          <w:bCs/>
          <w:sz w:val="22"/>
          <w:szCs w:val="22"/>
        </w:rPr>
      </w:pPr>
      <w:r w:rsidRPr="00673D4D">
        <w:rPr>
          <w:rFonts w:asciiTheme="minorHAnsi" w:eastAsiaTheme="minorEastAsia" w:hAnsiTheme="minorHAnsi" w:cstheme="minorHAnsi"/>
          <w:b/>
          <w:bCs/>
          <w:sz w:val="22"/>
          <w:szCs w:val="22"/>
        </w:rPr>
        <w:t xml:space="preserve">En Espagne, l’éducation des patients est aujourd’hui un enjeu essentiel pour leur apprendre non seulement le rôle du microbiote mais aussi les comportements à avoir pour le préserver le mieux possible et elle doit passer en partie par </w:t>
      </w:r>
      <w:r w:rsidR="00BC3A03">
        <w:rPr>
          <w:rFonts w:asciiTheme="minorHAnsi" w:eastAsiaTheme="minorEastAsia" w:hAnsiTheme="minorHAnsi" w:cstheme="minorHAnsi"/>
          <w:b/>
          <w:bCs/>
          <w:sz w:val="22"/>
          <w:szCs w:val="22"/>
        </w:rPr>
        <w:t>les professionnels de santé</w:t>
      </w:r>
      <w:r w:rsidRPr="00673D4D">
        <w:rPr>
          <w:rFonts w:asciiTheme="minorHAnsi" w:eastAsiaTheme="minorEastAsia" w:hAnsiTheme="minorHAnsi" w:cstheme="minorHAnsi"/>
          <w:b/>
          <w:bCs/>
          <w:sz w:val="22"/>
          <w:szCs w:val="22"/>
        </w:rPr>
        <w:t xml:space="preserve">. </w:t>
      </w:r>
    </w:p>
    <w:p w14:paraId="2377A18C" w14:textId="77777777" w:rsidR="00A10B55" w:rsidRPr="009014A4" w:rsidRDefault="00A10B55" w:rsidP="00A10B55">
      <w:pPr>
        <w:pStyle w:val="NormalWeb"/>
        <w:spacing w:before="0" w:beforeAutospacing="0" w:after="0" w:afterAutospacing="0" w:line="276" w:lineRule="auto"/>
        <w:ind w:left="720"/>
        <w:jc w:val="both"/>
        <w:rPr>
          <w:rFonts w:asciiTheme="minorHAnsi" w:eastAsiaTheme="minorEastAsia" w:hAnsiTheme="minorHAnsi" w:cstheme="minorHAnsi"/>
          <w:sz w:val="22"/>
          <w:szCs w:val="22"/>
          <w:highlight w:val="yellow"/>
        </w:rPr>
      </w:pPr>
    </w:p>
    <w:p w14:paraId="785C333F" w14:textId="77777777" w:rsidR="004F19BB" w:rsidRPr="004F19BB" w:rsidRDefault="004F19BB" w:rsidP="004F19BB">
      <w:pPr>
        <w:pStyle w:val="NormalWeb"/>
        <w:spacing w:before="0" w:beforeAutospacing="0" w:after="0" w:afterAutospacing="0"/>
        <w:ind w:left="720"/>
        <w:jc w:val="both"/>
        <w:rPr>
          <w:rFonts w:asciiTheme="minorHAnsi" w:eastAsiaTheme="minorEastAsia" w:hAnsiTheme="minorHAnsi" w:cstheme="minorHAnsi"/>
          <w:sz w:val="22"/>
          <w:szCs w:val="22"/>
        </w:rPr>
      </w:pPr>
    </w:p>
    <w:p w14:paraId="3F0FFB7C" w14:textId="77777777" w:rsidR="009014A4" w:rsidRDefault="009014A4" w:rsidP="009014A4">
      <w:pPr>
        <w:pStyle w:val="NormalWeb"/>
        <w:spacing w:before="0" w:beforeAutospacing="0" w:after="0" w:afterAutospacing="0"/>
        <w:jc w:val="both"/>
        <w:rPr>
          <w:rFonts w:asciiTheme="minorHAnsi" w:eastAsiaTheme="minorEastAsia" w:hAnsiTheme="minorHAnsi" w:cstheme="minorHAnsi"/>
          <w:szCs w:val="22"/>
        </w:rPr>
      </w:pPr>
    </w:p>
    <w:p w14:paraId="410CE0DA" w14:textId="261AEFFA" w:rsidR="0060257B" w:rsidRPr="0060257B" w:rsidRDefault="007134B6" w:rsidP="0013232A">
      <w:pPr>
        <w:jc w:val="both"/>
        <w:rPr>
          <w:rFonts w:asciiTheme="minorHAnsi" w:eastAsiaTheme="minorEastAsia" w:hAnsiTheme="minorHAnsi" w:cstheme="minorHAnsi"/>
          <w:i/>
          <w:iCs/>
        </w:rPr>
      </w:pPr>
      <w:r>
        <w:rPr>
          <w:rFonts w:asciiTheme="minorHAnsi" w:eastAsiaTheme="minorEastAsia" w:hAnsiTheme="minorHAnsi" w:cstheme="minorHAnsi"/>
          <w:lang w:val="fr-FR"/>
        </w:rPr>
        <w:t xml:space="preserve">Pour </w:t>
      </w:r>
      <w:r w:rsidRPr="00F15848">
        <w:rPr>
          <w:rFonts w:asciiTheme="minorHAnsi" w:eastAsiaTheme="minorEastAsia" w:hAnsiTheme="minorHAnsi" w:cstheme="minorHAnsi"/>
          <w:b/>
          <w:bCs/>
          <w:lang w:val="fr-FR"/>
        </w:rPr>
        <w:t>Murielle Escalmel, directrice du Biocodex Microbiota Institute</w:t>
      </w:r>
      <w:r>
        <w:rPr>
          <w:rFonts w:asciiTheme="minorHAnsi" w:eastAsiaTheme="minorEastAsia" w:hAnsiTheme="minorHAnsi" w:cstheme="minorHAnsi"/>
          <w:lang w:val="fr-FR"/>
        </w:rPr>
        <w:t>, « </w:t>
      </w:r>
      <w:r>
        <w:rPr>
          <w:rFonts w:asciiTheme="minorHAnsi" w:eastAsiaTheme="minorEastAsia" w:hAnsiTheme="minorHAnsi" w:cstheme="minorHAnsi"/>
          <w:i/>
          <w:iCs/>
          <w:lang w:val="fr-FR"/>
        </w:rPr>
        <w:t>C</w:t>
      </w:r>
      <w:r w:rsidRPr="00B34BF5">
        <w:rPr>
          <w:rFonts w:asciiTheme="minorHAnsi" w:eastAsiaTheme="minorEastAsia" w:hAnsiTheme="minorHAnsi" w:cstheme="minorHAnsi"/>
          <w:i/>
          <w:iCs/>
          <w:lang w:val="fr-FR"/>
        </w:rPr>
        <w:t xml:space="preserve">et observatoire, premier du genre, nous livre de </w:t>
      </w:r>
      <w:r>
        <w:rPr>
          <w:rFonts w:asciiTheme="minorHAnsi" w:eastAsiaTheme="minorEastAsia" w:hAnsiTheme="minorHAnsi" w:cstheme="minorHAnsi"/>
          <w:i/>
          <w:iCs/>
          <w:lang w:val="fr-FR"/>
        </w:rPr>
        <w:t>riches</w:t>
      </w:r>
      <w:r w:rsidRPr="00B34BF5">
        <w:rPr>
          <w:rFonts w:asciiTheme="minorHAnsi" w:eastAsiaTheme="minorEastAsia" w:hAnsiTheme="minorHAnsi" w:cstheme="minorHAnsi"/>
          <w:i/>
          <w:iCs/>
          <w:lang w:val="fr-FR"/>
        </w:rPr>
        <w:t xml:space="preserve"> enseignements sur les connaissances, comportements mais aussi attentes des populations mondiales sur les microbiotes humains. </w:t>
      </w:r>
      <w:r>
        <w:rPr>
          <w:rFonts w:asciiTheme="minorHAnsi" w:eastAsiaTheme="minorEastAsia" w:hAnsiTheme="minorHAnsi" w:cstheme="minorHAnsi"/>
          <w:i/>
          <w:iCs/>
          <w:lang w:val="fr-FR"/>
        </w:rPr>
        <w:t xml:space="preserve">Retenons également </w:t>
      </w:r>
      <w:r w:rsidRPr="00B34BF5">
        <w:rPr>
          <w:rFonts w:asciiTheme="minorHAnsi" w:eastAsiaTheme="minorEastAsia" w:hAnsiTheme="minorHAnsi" w:cstheme="minorHAnsi"/>
          <w:i/>
          <w:iCs/>
          <w:lang w:val="fr-FR"/>
        </w:rPr>
        <w:t>le rôle clé joué par les professionnels de santé dans la sensibilisation aux bons comportements pour prendre soin de</w:t>
      </w:r>
      <w:r>
        <w:rPr>
          <w:rFonts w:asciiTheme="minorHAnsi" w:eastAsiaTheme="minorEastAsia" w:hAnsiTheme="minorHAnsi" w:cstheme="minorHAnsi"/>
          <w:i/>
          <w:iCs/>
          <w:lang w:val="fr-FR"/>
        </w:rPr>
        <w:t xml:space="preserve">s </w:t>
      </w:r>
      <w:r w:rsidRPr="00B34BF5">
        <w:rPr>
          <w:rFonts w:asciiTheme="minorHAnsi" w:eastAsiaTheme="minorEastAsia" w:hAnsiTheme="minorHAnsi" w:cstheme="minorHAnsi"/>
          <w:i/>
          <w:iCs/>
          <w:lang w:val="fr-FR"/>
        </w:rPr>
        <w:t>microbiote</w:t>
      </w:r>
      <w:r>
        <w:rPr>
          <w:rFonts w:asciiTheme="minorHAnsi" w:eastAsiaTheme="minorEastAsia" w:hAnsiTheme="minorHAnsi" w:cstheme="minorHAnsi"/>
          <w:i/>
          <w:iCs/>
          <w:lang w:val="fr-FR"/>
        </w:rPr>
        <w:t>s</w:t>
      </w:r>
      <w:r w:rsidRPr="00B34BF5">
        <w:rPr>
          <w:rFonts w:asciiTheme="minorHAnsi" w:eastAsiaTheme="minorEastAsia" w:hAnsiTheme="minorHAnsi" w:cstheme="minorHAnsi"/>
          <w:i/>
          <w:iCs/>
          <w:lang w:val="fr-FR"/>
        </w:rPr>
        <w:t xml:space="preserve">. </w:t>
      </w:r>
      <w:r w:rsidRPr="0079022D">
        <w:rPr>
          <w:rFonts w:asciiTheme="minorHAnsi" w:eastAsiaTheme="minorEastAsia" w:hAnsiTheme="minorHAnsi" w:cstheme="minorHAnsi"/>
          <w:i/>
          <w:iCs/>
        </w:rPr>
        <w:t xml:space="preserve">Ce que montre l’enquête, c’est qu’à partir du moment où </w:t>
      </w:r>
      <w:r>
        <w:rPr>
          <w:rFonts w:asciiTheme="minorHAnsi" w:eastAsiaTheme="minorEastAsia" w:hAnsiTheme="minorHAnsi" w:cstheme="minorHAnsi"/>
          <w:i/>
          <w:iCs/>
        </w:rPr>
        <w:t>le</w:t>
      </w:r>
      <w:r w:rsidRPr="0079022D">
        <w:rPr>
          <w:rFonts w:asciiTheme="minorHAnsi" w:eastAsiaTheme="minorEastAsia" w:hAnsiTheme="minorHAnsi" w:cstheme="minorHAnsi"/>
          <w:i/>
          <w:iCs/>
        </w:rPr>
        <w:t xml:space="preserve"> patient </w:t>
      </w:r>
      <w:r>
        <w:rPr>
          <w:rFonts w:asciiTheme="minorHAnsi" w:eastAsiaTheme="minorEastAsia" w:hAnsiTheme="minorHAnsi" w:cstheme="minorHAnsi"/>
          <w:i/>
          <w:iCs/>
        </w:rPr>
        <w:t>reçoit</w:t>
      </w:r>
      <w:r w:rsidRPr="0079022D">
        <w:rPr>
          <w:rFonts w:asciiTheme="minorHAnsi" w:eastAsiaTheme="minorEastAsia" w:hAnsiTheme="minorHAnsi" w:cstheme="minorHAnsi"/>
          <w:i/>
          <w:iCs/>
        </w:rPr>
        <w:t xml:space="preserve"> </w:t>
      </w:r>
      <w:r>
        <w:rPr>
          <w:rFonts w:asciiTheme="minorHAnsi" w:eastAsiaTheme="minorEastAsia" w:hAnsiTheme="minorHAnsi" w:cstheme="minorHAnsi"/>
          <w:i/>
          <w:iCs/>
        </w:rPr>
        <w:t>l’</w:t>
      </w:r>
      <w:r w:rsidRPr="0079022D">
        <w:rPr>
          <w:rFonts w:asciiTheme="minorHAnsi" w:eastAsiaTheme="minorEastAsia" w:hAnsiTheme="minorHAnsi" w:cstheme="minorHAnsi"/>
          <w:i/>
          <w:iCs/>
        </w:rPr>
        <w:t>information</w:t>
      </w:r>
      <w:r>
        <w:rPr>
          <w:rFonts w:asciiTheme="minorHAnsi" w:eastAsiaTheme="minorEastAsia" w:hAnsiTheme="minorHAnsi" w:cstheme="minorHAnsi"/>
          <w:i/>
          <w:iCs/>
        </w:rPr>
        <w:t xml:space="preserve"> par son professionnel de santé</w:t>
      </w:r>
      <w:r w:rsidRPr="0079022D">
        <w:rPr>
          <w:rFonts w:asciiTheme="minorHAnsi" w:eastAsiaTheme="minorEastAsia" w:hAnsiTheme="minorHAnsi" w:cstheme="minorHAnsi"/>
          <w:i/>
          <w:iCs/>
        </w:rPr>
        <w:t>, son rapport au microbiote change</w:t>
      </w:r>
      <w:r>
        <w:rPr>
          <w:rFonts w:asciiTheme="minorHAnsi" w:eastAsiaTheme="minorEastAsia" w:hAnsiTheme="minorHAnsi" w:cstheme="minorHAnsi"/>
          <w:i/>
          <w:iCs/>
        </w:rPr>
        <w:t>. Mieux, des comportements vertueux s’enclenchent. Il convient donc de renforcer l’accompagnement des professionnels de santé pour que le microbiote fasse partie intégrante de la prise en charge des patients.</w:t>
      </w:r>
      <w:r w:rsidR="0013232A">
        <w:rPr>
          <w:rFonts w:asciiTheme="minorHAnsi" w:eastAsiaTheme="minorEastAsia" w:hAnsiTheme="minorHAnsi" w:cstheme="minorHAnsi"/>
          <w:i/>
          <w:iCs/>
        </w:rPr>
        <w:t xml:space="preserve"> </w:t>
      </w:r>
      <w:r>
        <w:rPr>
          <w:rFonts w:asciiTheme="minorHAnsi" w:eastAsiaTheme="minorEastAsia" w:hAnsiTheme="minorHAnsi" w:cstheme="minorHAnsi"/>
          <w:i/>
          <w:iCs/>
        </w:rPr>
        <w:t xml:space="preserve">»  </w:t>
      </w:r>
    </w:p>
    <w:p w14:paraId="78B98095" w14:textId="77777777" w:rsidR="00A369BB" w:rsidRDefault="00A369BB">
      <w:pPr>
        <w:rPr>
          <w:lang w:val="fr-FR"/>
        </w:rPr>
      </w:pPr>
    </w:p>
    <w:p w14:paraId="2CF58E3A" w14:textId="77777777" w:rsidR="00F15848" w:rsidRPr="00F15848" w:rsidRDefault="00F15848" w:rsidP="00F15848">
      <w:pPr>
        <w:jc w:val="both"/>
        <w:rPr>
          <w:rFonts w:asciiTheme="minorHAnsi" w:eastAsiaTheme="minorEastAsia" w:hAnsiTheme="minorHAnsi" w:cstheme="minorHAnsi"/>
          <w:b/>
          <w:bCs/>
          <w:sz w:val="20"/>
          <w:szCs w:val="20"/>
          <w:u w:val="single"/>
          <w:lang w:val="fr-FR"/>
        </w:rPr>
      </w:pPr>
      <w:r w:rsidRPr="00F15848">
        <w:rPr>
          <w:rFonts w:asciiTheme="minorHAnsi" w:eastAsiaTheme="minorEastAsia" w:hAnsiTheme="minorHAnsi" w:cstheme="minorHAnsi"/>
          <w:b/>
          <w:bCs/>
          <w:sz w:val="20"/>
          <w:szCs w:val="20"/>
          <w:u w:val="single"/>
          <w:lang w:val="fr-FR"/>
        </w:rPr>
        <w:t>À propos du Biocodex Microbiota Institute</w:t>
      </w:r>
    </w:p>
    <w:p w14:paraId="635E1A04" w14:textId="3685E83C" w:rsidR="00F15848" w:rsidRPr="00F15848" w:rsidRDefault="00F15848" w:rsidP="00F15848">
      <w:pPr>
        <w:shd w:val="clear" w:color="auto" w:fill="FFFFFF"/>
        <w:spacing w:line="240" w:lineRule="auto"/>
        <w:jc w:val="both"/>
        <w:rPr>
          <w:rFonts w:asciiTheme="minorHAnsi" w:eastAsiaTheme="minorEastAsia" w:hAnsiTheme="minorHAnsi" w:cstheme="minorHAnsi"/>
          <w:sz w:val="20"/>
          <w:szCs w:val="20"/>
          <w:lang w:val="fr-FR"/>
        </w:rPr>
      </w:pPr>
      <w:r w:rsidRPr="00F15848">
        <w:rPr>
          <w:rFonts w:asciiTheme="minorHAnsi" w:eastAsiaTheme="minorEastAsia" w:hAnsiTheme="minorHAnsi" w:cstheme="minorHAnsi"/>
          <w:sz w:val="20"/>
          <w:szCs w:val="20"/>
          <w:lang w:val="fr-FR"/>
        </w:rPr>
        <w:t xml:space="preserve">Le Biocodex Microbiota Institute est </w:t>
      </w:r>
      <w:r w:rsidR="00037046">
        <w:rPr>
          <w:rFonts w:asciiTheme="minorHAnsi" w:eastAsiaTheme="minorEastAsia" w:hAnsiTheme="minorHAnsi" w:cstheme="minorHAnsi"/>
          <w:sz w:val="20"/>
          <w:szCs w:val="20"/>
          <w:lang w:val="fr-FR"/>
        </w:rPr>
        <w:t xml:space="preserve">un </w:t>
      </w:r>
      <w:r w:rsidRPr="00F15848">
        <w:rPr>
          <w:rFonts w:asciiTheme="minorHAnsi" w:eastAsiaTheme="minorEastAsia" w:hAnsiTheme="minorHAnsi" w:cstheme="minorHAnsi"/>
          <w:sz w:val="20"/>
          <w:szCs w:val="20"/>
          <w:lang w:val="fr-FR"/>
        </w:rPr>
        <w:t xml:space="preserve">carrefour international de connaissances ayant pour but de promouvoir une meilleure santé en communiquant sur le microbiote humain. Pour ce faire, il s’adresse aux professionnels de santé ainsi qu’au grand public afin de les sensibiliser au rôle central de cet organe encore méconnu. </w:t>
      </w:r>
    </w:p>
    <w:p w14:paraId="4C8F23C7" w14:textId="77777777" w:rsidR="00F15848" w:rsidRPr="007C0E60" w:rsidRDefault="00F15848" w:rsidP="00F15848"/>
    <w:p w14:paraId="2A5C6827" w14:textId="117983C7" w:rsidR="00F15848" w:rsidRPr="00DB2DFA" w:rsidRDefault="003D3C77" w:rsidP="00DB2DFA">
      <w:pPr>
        <w:jc w:val="center"/>
        <w:rPr>
          <w:rFonts w:asciiTheme="minorHAnsi" w:eastAsiaTheme="minorEastAsia" w:hAnsiTheme="minorHAnsi" w:cstheme="minorHAnsi"/>
          <w:sz w:val="20"/>
          <w:szCs w:val="20"/>
          <w:lang w:val="fr-FR"/>
        </w:rPr>
      </w:pPr>
      <w:hyperlink r:id="rId12" w:history="1">
        <w:r w:rsidR="00DB2DFA" w:rsidRPr="00591B28">
          <w:rPr>
            <w:rStyle w:val="Lienhypertexte"/>
            <w:rFonts w:asciiTheme="minorHAnsi" w:eastAsiaTheme="minorEastAsia" w:hAnsiTheme="minorHAnsi" w:cstheme="minorHAnsi"/>
            <w:sz w:val="20"/>
            <w:szCs w:val="20"/>
            <w:lang w:val="fr-FR"/>
          </w:rPr>
          <w:t>www.biocodexmicrobiotainstitute.com/fr</w:t>
        </w:r>
      </w:hyperlink>
      <w:r w:rsidR="00DB2DFA">
        <w:rPr>
          <w:rFonts w:asciiTheme="minorHAnsi" w:eastAsiaTheme="minorEastAsia" w:hAnsiTheme="minorHAnsi" w:cstheme="minorHAnsi"/>
          <w:sz w:val="20"/>
          <w:szCs w:val="20"/>
          <w:lang w:val="fr-FR"/>
        </w:rPr>
        <w:t xml:space="preserve"> </w:t>
      </w:r>
    </w:p>
    <w:p w14:paraId="3614785C" w14:textId="77777777" w:rsidR="00F15848" w:rsidRDefault="00F15848" w:rsidP="00F15848"/>
    <w:p w14:paraId="096F51E4" w14:textId="77777777" w:rsidR="00F15848" w:rsidRDefault="00F15848" w:rsidP="00F15848"/>
    <w:p w14:paraId="0689A059" w14:textId="77777777" w:rsidR="00F15848" w:rsidRDefault="00F15848" w:rsidP="00F15848"/>
    <w:p w14:paraId="6E8D3736" w14:textId="77777777" w:rsidR="00F15848" w:rsidRDefault="00F15848" w:rsidP="00F15848"/>
    <w:p w14:paraId="2B6D0C05" w14:textId="77777777" w:rsidR="00F15848" w:rsidRDefault="00F15848" w:rsidP="00F15848"/>
    <w:p w14:paraId="7F758029" w14:textId="77777777" w:rsidR="00F15848" w:rsidRDefault="00F15848" w:rsidP="00F15848"/>
    <w:p w14:paraId="1AFCA524" w14:textId="77777777" w:rsidR="00F15848" w:rsidRDefault="00F15848" w:rsidP="00F15848"/>
    <w:p w14:paraId="71A9FBCC" w14:textId="77777777" w:rsidR="00F15848" w:rsidRDefault="00F15848" w:rsidP="00F15848"/>
    <w:p w14:paraId="73104F39" w14:textId="77777777" w:rsidR="00F15848" w:rsidRDefault="00F15848" w:rsidP="00F15848"/>
    <w:p w14:paraId="76FC0CD6" w14:textId="77777777" w:rsidR="00F15848" w:rsidRDefault="00F15848" w:rsidP="00F15848"/>
    <w:p w14:paraId="1CD27187" w14:textId="77777777" w:rsidR="00F15848" w:rsidRDefault="00F15848" w:rsidP="00F15848"/>
    <w:p w14:paraId="287FFE91" w14:textId="77777777" w:rsidR="00F15848" w:rsidRDefault="00F15848" w:rsidP="00F15848"/>
    <w:p w14:paraId="61E9D6F3" w14:textId="77777777" w:rsidR="00F15848" w:rsidRDefault="00F15848" w:rsidP="00F15848"/>
    <w:p w14:paraId="7980AC40" w14:textId="77777777" w:rsidR="00F15848" w:rsidRDefault="00F15848" w:rsidP="00F15848"/>
    <w:p w14:paraId="0236A38E" w14:textId="77777777" w:rsidR="00F15848" w:rsidRDefault="00F15848" w:rsidP="00F15848"/>
    <w:p w14:paraId="1DD10750" w14:textId="77777777" w:rsidR="00F15848" w:rsidRDefault="00F15848" w:rsidP="00F15848"/>
    <w:p w14:paraId="6BB85392" w14:textId="77777777" w:rsidR="00DB2DFA" w:rsidRPr="007C0E60" w:rsidRDefault="00DB2DFA" w:rsidP="00F15848"/>
    <w:p w14:paraId="20E16F4C" w14:textId="77777777" w:rsidR="00C31B44" w:rsidRDefault="00F15848" w:rsidP="00DB2DFA">
      <w:pPr>
        <w:jc w:val="right"/>
        <w:rPr>
          <w:rStyle w:val="Lienhypertexte"/>
          <w:sz w:val="18"/>
          <w:szCs w:val="18"/>
        </w:rPr>
      </w:pPr>
      <w:r w:rsidRPr="00F15848">
        <w:rPr>
          <w:b/>
          <w:sz w:val="18"/>
          <w:szCs w:val="18"/>
          <w:u w:val="single"/>
        </w:rPr>
        <w:t>Contact</w:t>
      </w:r>
      <w:r w:rsidR="00C31B44">
        <w:rPr>
          <w:b/>
          <w:sz w:val="18"/>
          <w:szCs w:val="18"/>
          <w:u w:val="single"/>
        </w:rPr>
        <w:t xml:space="preserve"> presse Biocodex Microbiota Institute</w:t>
      </w:r>
      <w:r w:rsidRPr="00F15848">
        <w:rPr>
          <w:b/>
          <w:sz w:val="18"/>
          <w:szCs w:val="18"/>
          <w:u w:val="single"/>
        </w:rPr>
        <w:t> :</w:t>
      </w:r>
      <w:r w:rsidRPr="00F15848">
        <w:rPr>
          <w:sz w:val="18"/>
          <w:szCs w:val="18"/>
        </w:rPr>
        <w:br/>
        <w:t>Olivier V</w:t>
      </w:r>
      <w:r w:rsidR="00DB2DFA">
        <w:rPr>
          <w:sz w:val="18"/>
          <w:szCs w:val="18"/>
        </w:rPr>
        <w:t>alcke</w:t>
      </w:r>
      <w:r w:rsidRPr="00F15848">
        <w:rPr>
          <w:sz w:val="18"/>
          <w:szCs w:val="18"/>
        </w:rPr>
        <w:t xml:space="preserve">, Relations publiques et responsable éditorial </w:t>
      </w:r>
      <w:r w:rsidRPr="00F15848">
        <w:rPr>
          <w:sz w:val="18"/>
          <w:szCs w:val="18"/>
        </w:rPr>
        <w:br/>
        <w:t>+33 6 43 61 32 58</w:t>
      </w:r>
      <w:r w:rsidRPr="00F15848">
        <w:rPr>
          <w:sz w:val="18"/>
          <w:szCs w:val="18"/>
        </w:rPr>
        <w:br/>
      </w:r>
      <w:hyperlink r:id="rId13" w:history="1">
        <w:r w:rsidRPr="00F15848">
          <w:rPr>
            <w:rStyle w:val="Lienhypertexte"/>
            <w:sz w:val="18"/>
            <w:szCs w:val="18"/>
          </w:rPr>
          <w:t>o.valcke@biocodex.com</w:t>
        </w:r>
      </w:hyperlink>
    </w:p>
    <w:p w14:paraId="196C9CCE" w14:textId="77777777" w:rsidR="00C31B44" w:rsidRDefault="00C31B44" w:rsidP="00DB2DFA">
      <w:pPr>
        <w:jc w:val="right"/>
        <w:rPr>
          <w:rStyle w:val="Lienhypertexte"/>
          <w:sz w:val="18"/>
          <w:szCs w:val="18"/>
        </w:rPr>
      </w:pPr>
    </w:p>
    <w:p w14:paraId="76C84893" w14:textId="2FBAF8AF" w:rsidR="00C31B44" w:rsidRPr="00DB2DFA" w:rsidRDefault="00C31B44" w:rsidP="00C31B44">
      <w:pPr>
        <w:jc w:val="right"/>
        <w:rPr>
          <w:sz w:val="18"/>
          <w:szCs w:val="18"/>
        </w:rPr>
      </w:pPr>
      <w:r w:rsidRPr="00F15848">
        <w:rPr>
          <w:b/>
          <w:sz w:val="18"/>
          <w:szCs w:val="18"/>
          <w:u w:val="single"/>
        </w:rPr>
        <w:t>Contact</w:t>
      </w:r>
      <w:r>
        <w:rPr>
          <w:b/>
          <w:sz w:val="18"/>
          <w:szCs w:val="18"/>
          <w:u w:val="single"/>
        </w:rPr>
        <w:t xml:space="preserve"> presse </w:t>
      </w:r>
      <w:r w:rsidR="006A283F">
        <w:rPr>
          <w:b/>
          <w:sz w:val="18"/>
          <w:szCs w:val="18"/>
          <w:u w:val="single"/>
        </w:rPr>
        <w:t>Ipsos</w:t>
      </w:r>
      <w:r w:rsidRPr="00F15848">
        <w:rPr>
          <w:b/>
          <w:sz w:val="18"/>
          <w:szCs w:val="18"/>
          <w:u w:val="single"/>
        </w:rPr>
        <w:t> :</w:t>
      </w:r>
      <w:r w:rsidRPr="00F15848">
        <w:rPr>
          <w:sz w:val="18"/>
          <w:szCs w:val="18"/>
        </w:rPr>
        <w:br/>
      </w:r>
      <w:r w:rsidR="006A283F">
        <w:rPr>
          <w:sz w:val="18"/>
          <w:szCs w:val="18"/>
        </w:rPr>
        <w:t>Etienne Mercier</w:t>
      </w:r>
      <w:r w:rsidRPr="00F15848">
        <w:rPr>
          <w:sz w:val="18"/>
          <w:szCs w:val="18"/>
        </w:rPr>
        <w:t xml:space="preserve">, </w:t>
      </w:r>
      <w:r w:rsidR="006A283F">
        <w:rPr>
          <w:sz w:val="18"/>
          <w:szCs w:val="18"/>
        </w:rPr>
        <w:t>Directeur du pôle Opinion et Santé - Ipsos</w:t>
      </w:r>
      <w:r w:rsidRPr="00F15848">
        <w:rPr>
          <w:sz w:val="18"/>
          <w:szCs w:val="18"/>
        </w:rPr>
        <w:t xml:space="preserve"> </w:t>
      </w:r>
      <w:r w:rsidRPr="00F15848">
        <w:rPr>
          <w:sz w:val="18"/>
          <w:szCs w:val="18"/>
        </w:rPr>
        <w:br/>
        <w:t>+33 6 </w:t>
      </w:r>
      <w:r w:rsidR="006A283F">
        <w:rPr>
          <w:sz w:val="18"/>
          <w:szCs w:val="18"/>
        </w:rPr>
        <w:t>23 05 05 17</w:t>
      </w:r>
      <w:r w:rsidRPr="00F15848">
        <w:rPr>
          <w:sz w:val="18"/>
          <w:szCs w:val="18"/>
        </w:rPr>
        <w:br/>
      </w:r>
      <w:hyperlink r:id="rId14" w:history="1">
        <w:r w:rsidR="006A283F" w:rsidRPr="002D54FF">
          <w:rPr>
            <w:rStyle w:val="Lienhypertexte"/>
            <w:sz w:val="18"/>
            <w:szCs w:val="18"/>
          </w:rPr>
          <w:t>Etienne.</w:t>
        </w:r>
      </w:hyperlink>
      <w:r w:rsidR="006A283F">
        <w:rPr>
          <w:rStyle w:val="Lienhypertexte"/>
          <w:sz w:val="18"/>
          <w:szCs w:val="18"/>
        </w:rPr>
        <w:t>Mercier@ipsos.com</w:t>
      </w:r>
      <w:r w:rsidRPr="00F15848">
        <w:rPr>
          <w:sz w:val="18"/>
          <w:szCs w:val="18"/>
        </w:rPr>
        <w:t xml:space="preserve"> </w:t>
      </w:r>
    </w:p>
    <w:p w14:paraId="013A199F" w14:textId="03777914" w:rsidR="00F15848" w:rsidRPr="00DB2DFA" w:rsidRDefault="00F15848" w:rsidP="00DB2DFA">
      <w:pPr>
        <w:jc w:val="right"/>
        <w:rPr>
          <w:sz w:val="18"/>
          <w:szCs w:val="18"/>
        </w:rPr>
      </w:pPr>
      <w:r w:rsidRPr="00F15848">
        <w:rPr>
          <w:sz w:val="18"/>
          <w:szCs w:val="18"/>
        </w:rPr>
        <w:t xml:space="preserve"> </w:t>
      </w:r>
    </w:p>
    <w:sectPr w:rsidR="00F15848" w:rsidRPr="00DB2DF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CCC49" w14:textId="77777777" w:rsidR="00DF21E7" w:rsidRDefault="00DF21E7" w:rsidP="008526BE">
      <w:pPr>
        <w:spacing w:line="240" w:lineRule="auto"/>
      </w:pPr>
      <w:r>
        <w:separator/>
      </w:r>
    </w:p>
  </w:endnote>
  <w:endnote w:type="continuationSeparator" w:id="0">
    <w:p w14:paraId="569AA02F" w14:textId="77777777" w:rsidR="00DF21E7" w:rsidRDefault="00DF21E7" w:rsidP="008526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nci Sans">
    <w:altName w:val="Calibri"/>
    <w:panose1 w:val="00000000000000000000"/>
    <w:charset w:val="00"/>
    <w:family w:val="modern"/>
    <w:notTrueType/>
    <w:pitch w:val="variable"/>
    <w:sig w:usb0="A00000AF" w:usb1="4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Vinci Sans Medium">
    <w:altName w:val="Calibri"/>
    <w:panose1 w:val="00000000000000000000"/>
    <w:charset w:val="00"/>
    <w:family w:val="modern"/>
    <w:notTrueType/>
    <w:pitch w:val="variable"/>
    <w:sig w:usb0="A00000AF" w:usb1="4000205B" w:usb2="00000000" w:usb3="00000000" w:csb0="0000009B" w:csb1="00000000"/>
  </w:font>
  <w:font w:name="Fira Sans">
    <w:altName w:val="Calibri"/>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AD2C" w14:textId="77777777" w:rsidR="00587ABA" w:rsidRDefault="00587A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5116"/>
      <w:docPartObj>
        <w:docPartGallery w:val="Page Numbers (Bottom of Page)"/>
        <w:docPartUnique/>
      </w:docPartObj>
    </w:sdtPr>
    <w:sdtEndPr/>
    <w:sdtContent>
      <w:p w14:paraId="290E10EC" w14:textId="703A20E0" w:rsidR="008526BE" w:rsidRDefault="008526BE">
        <w:pPr>
          <w:pStyle w:val="Pieddepage"/>
          <w:jc w:val="center"/>
        </w:pPr>
        <w:r>
          <w:fldChar w:fldCharType="begin"/>
        </w:r>
        <w:r>
          <w:instrText>PAGE   \* MERGEFORMAT</w:instrText>
        </w:r>
        <w:r>
          <w:fldChar w:fldCharType="separate"/>
        </w:r>
        <w:r>
          <w:rPr>
            <w:lang w:val="fr-FR"/>
          </w:rPr>
          <w:t>2</w:t>
        </w:r>
        <w:r>
          <w:fldChar w:fldCharType="end"/>
        </w:r>
      </w:p>
    </w:sdtContent>
  </w:sdt>
  <w:p w14:paraId="46F05DE0" w14:textId="77777777" w:rsidR="008526BE" w:rsidRDefault="008526B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2539" w14:textId="77777777" w:rsidR="00587ABA" w:rsidRDefault="00587A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EE55" w14:textId="77777777" w:rsidR="00DF21E7" w:rsidRDefault="00DF21E7" w:rsidP="008526BE">
      <w:pPr>
        <w:spacing w:line="240" w:lineRule="auto"/>
      </w:pPr>
      <w:r>
        <w:separator/>
      </w:r>
    </w:p>
  </w:footnote>
  <w:footnote w:type="continuationSeparator" w:id="0">
    <w:p w14:paraId="24EE7701" w14:textId="77777777" w:rsidR="00DF21E7" w:rsidRDefault="00DF21E7" w:rsidP="008526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C002" w14:textId="77777777" w:rsidR="00587ABA" w:rsidRDefault="00587A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F5E9" w14:textId="3958AD05" w:rsidR="00587ABA" w:rsidRPr="00587ABA" w:rsidRDefault="00587ABA">
    <w:pPr>
      <w:pStyle w:val="En-tte"/>
      <w:rPr>
        <w:sz w:val="18"/>
        <w:szCs w:val="18"/>
      </w:rPr>
    </w:pPr>
    <w:r w:rsidRPr="00587ABA">
      <w:rPr>
        <w:sz w:val="18"/>
        <w:szCs w:val="18"/>
      </w:rPr>
      <w:t>BMI-23.32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E99B" w14:textId="77777777" w:rsidR="00587ABA" w:rsidRDefault="00587A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31A1D"/>
    <w:multiLevelType w:val="hybridMultilevel"/>
    <w:tmpl w:val="75CC8FB0"/>
    <w:lvl w:ilvl="0" w:tplc="C2E4539C">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116122"/>
    <w:multiLevelType w:val="hybridMultilevel"/>
    <w:tmpl w:val="43081DB0"/>
    <w:lvl w:ilvl="0" w:tplc="35C2BEA8">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E476F0"/>
    <w:multiLevelType w:val="hybridMultilevel"/>
    <w:tmpl w:val="F5100578"/>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D560737"/>
    <w:multiLevelType w:val="hybridMultilevel"/>
    <w:tmpl w:val="E3D2A08E"/>
    <w:lvl w:ilvl="0" w:tplc="800CCEC4">
      <w:numFmt w:val="bullet"/>
      <w:lvlText w:val="-"/>
      <w:lvlJc w:val="left"/>
      <w:pPr>
        <w:ind w:left="720" w:hanging="360"/>
      </w:pPr>
      <w:rPr>
        <w:rFonts w:ascii="Calibri" w:eastAsiaTheme="minorEastAsia"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F04B7F"/>
    <w:multiLevelType w:val="hybridMultilevel"/>
    <w:tmpl w:val="4B1031CE"/>
    <w:lvl w:ilvl="0" w:tplc="040C0001">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FF0625"/>
    <w:multiLevelType w:val="hybridMultilevel"/>
    <w:tmpl w:val="D74E7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426DF9"/>
    <w:multiLevelType w:val="hybridMultilevel"/>
    <w:tmpl w:val="27241592"/>
    <w:lvl w:ilvl="0" w:tplc="35C2BEA8">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0F3A21"/>
    <w:multiLevelType w:val="hybridMultilevel"/>
    <w:tmpl w:val="79BEE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CE31F4"/>
    <w:multiLevelType w:val="hybridMultilevel"/>
    <w:tmpl w:val="F14445C8"/>
    <w:lvl w:ilvl="0" w:tplc="74EA952E">
      <w:start w:val="1"/>
      <w:numFmt w:val="bullet"/>
      <w:lvlText w:val=""/>
      <w:lvlJc w:val="left"/>
      <w:pPr>
        <w:ind w:left="720" w:hanging="360"/>
      </w:pPr>
      <w:rPr>
        <w:rFonts w:ascii="Symbol" w:hAnsi="Symbol" w:hint="default"/>
        <w:strike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2321937"/>
    <w:multiLevelType w:val="hybridMultilevel"/>
    <w:tmpl w:val="2730B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907CD1"/>
    <w:multiLevelType w:val="hybridMultilevel"/>
    <w:tmpl w:val="B31A913E"/>
    <w:lvl w:ilvl="0" w:tplc="560A2160">
      <w:numFmt w:val="bullet"/>
      <w:lvlText w:val="-"/>
      <w:lvlJc w:val="left"/>
      <w:pPr>
        <w:ind w:left="362" w:hanging="360"/>
      </w:pPr>
      <w:rPr>
        <w:rFonts w:ascii="Vinci Sans" w:eastAsia="Times New Roman" w:hAnsi="Vinci Sans" w:cs="Times New Roman" w:hint="default"/>
      </w:rPr>
    </w:lvl>
    <w:lvl w:ilvl="1" w:tplc="040C0003" w:tentative="1">
      <w:start w:val="1"/>
      <w:numFmt w:val="bullet"/>
      <w:lvlText w:val="o"/>
      <w:lvlJc w:val="left"/>
      <w:pPr>
        <w:ind w:left="1082" w:hanging="360"/>
      </w:pPr>
      <w:rPr>
        <w:rFonts w:ascii="Courier New" w:hAnsi="Courier New" w:cs="Courier New" w:hint="default"/>
      </w:rPr>
    </w:lvl>
    <w:lvl w:ilvl="2" w:tplc="040C0005" w:tentative="1">
      <w:start w:val="1"/>
      <w:numFmt w:val="bullet"/>
      <w:lvlText w:val=""/>
      <w:lvlJc w:val="left"/>
      <w:pPr>
        <w:ind w:left="1802" w:hanging="360"/>
      </w:pPr>
      <w:rPr>
        <w:rFonts w:ascii="Wingdings" w:hAnsi="Wingdings" w:hint="default"/>
      </w:rPr>
    </w:lvl>
    <w:lvl w:ilvl="3" w:tplc="040C0001" w:tentative="1">
      <w:start w:val="1"/>
      <w:numFmt w:val="bullet"/>
      <w:lvlText w:val=""/>
      <w:lvlJc w:val="left"/>
      <w:pPr>
        <w:ind w:left="2522" w:hanging="360"/>
      </w:pPr>
      <w:rPr>
        <w:rFonts w:ascii="Symbol" w:hAnsi="Symbol" w:hint="default"/>
      </w:rPr>
    </w:lvl>
    <w:lvl w:ilvl="4" w:tplc="040C0003" w:tentative="1">
      <w:start w:val="1"/>
      <w:numFmt w:val="bullet"/>
      <w:lvlText w:val="o"/>
      <w:lvlJc w:val="left"/>
      <w:pPr>
        <w:ind w:left="3242" w:hanging="360"/>
      </w:pPr>
      <w:rPr>
        <w:rFonts w:ascii="Courier New" w:hAnsi="Courier New" w:cs="Courier New" w:hint="default"/>
      </w:rPr>
    </w:lvl>
    <w:lvl w:ilvl="5" w:tplc="040C0005" w:tentative="1">
      <w:start w:val="1"/>
      <w:numFmt w:val="bullet"/>
      <w:lvlText w:val=""/>
      <w:lvlJc w:val="left"/>
      <w:pPr>
        <w:ind w:left="3962" w:hanging="360"/>
      </w:pPr>
      <w:rPr>
        <w:rFonts w:ascii="Wingdings" w:hAnsi="Wingdings" w:hint="default"/>
      </w:rPr>
    </w:lvl>
    <w:lvl w:ilvl="6" w:tplc="040C0001" w:tentative="1">
      <w:start w:val="1"/>
      <w:numFmt w:val="bullet"/>
      <w:lvlText w:val=""/>
      <w:lvlJc w:val="left"/>
      <w:pPr>
        <w:ind w:left="4682" w:hanging="360"/>
      </w:pPr>
      <w:rPr>
        <w:rFonts w:ascii="Symbol" w:hAnsi="Symbol" w:hint="default"/>
      </w:rPr>
    </w:lvl>
    <w:lvl w:ilvl="7" w:tplc="040C0003" w:tentative="1">
      <w:start w:val="1"/>
      <w:numFmt w:val="bullet"/>
      <w:lvlText w:val="o"/>
      <w:lvlJc w:val="left"/>
      <w:pPr>
        <w:ind w:left="5402" w:hanging="360"/>
      </w:pPr>
      <w:rPr>
        <w:rFonts w:ascii="Courier New" w:hAnsi="Courier New" w:cs="Courier New" w:hint="default"/>
      </w:rPr>
    </w:lvl>
    <w:lvl w:ilvl="8" w:tplc="040C0005" w:tentative="1">
      <w:start w:val="1"/>
      <w:numFmt w:val="bullet"/>
      <w:lvlText w:val=""/>
      <w:lvlJc w:val="left"/>
      <w:pPr>
        <w:ind w:left="6122" w:hanging="360"/>
      </w:pPr>
      <w:rPr>
        <w:rFonts w:ascii="Wingdings" w:hAnsi="Wingdings" w:hint="default"/>
      </w:rPr>
    </w:lvl>
  </w:abstractNum>
  <w:abstractNum w:abstractNumId="11" w15:restartNumberingAfterBreak="0">
    <w:nsid w:val="76666869"/>
    <w:multiLevelType w:val="hybridMultilevel"/>
    <w:tmpl w:val="B33EC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9952683">
    <w:abstractNumId w:val="0"/>
  </w:num>
  <w:num w:numId="2" w16cid:durableId="1035274282">
    <w:abstractNumId w:val="11"/>
  </w:num>
  <w:num w:numId="3" w16cid:durableId="1628850334">
    <w:abstractNumId w:val="7"/>
  </w:num>
  <w:num w:numId="4" w16cid:durableId="693311707">
    <w:abstractNumId w:val="9"/>
  </w:num>
  <w:num w:numId="5" w16cid:durableId="2077850953">
    <w:abstractNumId w:val="3"/>
  </w:num>
  <w:num w:numId="6" w16cid:durableId="50858572">
    <w:abstractNumId w:val="4"/>
  </w:num>
  <w:num w:numId="7" w16cid:durableId="1968196474">
    <w:abstractNumId w:val="8"/>
  </w:num>
  <w:num w:numId="8" w16cid:durableId="1699116457">
    <w:abstractNumId w:val="1"/>
  </w:num>
  <w:num w:numId="9" w16cid:durableId="729885837">
    <w:abstractNumId w:val="6"/>
  </w:num>
  <w:num w:numId="10" w16cid:durableId="1789465379">
    <w:abstractNumId w:val="10"/>
  </w:num>
  <w:num w:numId="11" w16cid:durableId="1789736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0029471">
    <w:abstractNumId w:val="2"/>
  </w:num>
  <w:num w:numId="13" w16cid:durableId="951981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B6"/>
    <w:rsid w:val="00037046"/>
    <w:rsid w:val="00054451"/>
    <w:rsid w:val="0013232A"/>
    <w:rsid w:val="00232CE0"/>
    <w:rsid w:val="003957F3"/>
    <w:rsid w:val="003D3C77"/>
    <w:rsid w:val="00495A2A"/>
    <w:rsid w:val="004F19BB"/>
    <w:rsid w:val="00587ABA"/>
    <w:rsid w:val="0060257B"/>
    <w:rsid w:val="00673D4D"/>
    <w:rsid w:val="00685453"/>
    <w:rsid w:val="006A283F"/>
    <w:rsid w:val="007134B6"/>
    <w:rsid w:val="0079225D"/>
    <w:rsid w:val="008526BE"/>
    <w:rsid w:val="009014A4"/>
    <w:rsid w:val="00A10B55"/>
    <w:rsid w:val="00A369BB"/>
    <w:rsid w:val="00A50BD1"/>
    <w:rsid w:val="00AA7276"/>
    <w:rsid w:val="00B95E3A"/>
    <w:rsid w:val="00BC3A03"/>
    <w:rsid w:val="00C30652"/>
    <w:rsid w:val="00C31B44"/>
    <w:rsid w:val="00D108C2"/>
    <w:rsid w:val="00DB2DFA"/>
    <w:rsid w:val="00DF21E7"/>
    <w:rsid w:val="00EF40A8"/>
    <w:rsid w:val="00F158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A11C"/>
  <w15:chartTrackingRefBased/>
  <w15:docId w15:val="{3C3C0DC8-C7B6-41CD-BA48-5AC51874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4B6"/>
    <w:pPr>
      <w:spacing w:after="0" w:line="276" w:lineRule="auto"/>
    </w:pPr>
    <w:rPr>
      <w:rFonts w:ascii="Arial" w:eastAsia="Arial" w:hAnsi="Arial" w:cs="Arial"/>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134B6"/>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Marquedecommentaire">
    <w:name w:val="annotation reference"/>
    <w:basedOn w:val="Policepardfaut"/>
    <w:uiPriority w:val="99"/>
    <w:semiHidden/>
    <w:unhideWhenUsed/>
    <w:rsid w:val="007134B6"/>
    <w:rPr>
      <w:sz w:val="16"/>
      <w:szCs w:val="16"/>
    </w:rPr>
  </w:style>
  <w:style w:type="paragraph" w:styleId="Commentaire">
    <w:name w:val="annotation text"/>
    <w:basedOn w:val="Normal"/>
    <w:link w:val="CommentaireCar"/>
    <w:uiPriority w:val="99"/>
    <w:unhideWhenUsed/>
    <w:rsid w:val="007134B6"/>
    <w:pPr>
      <w:spacing w:line="240" w:lineRule="auto"/>
    </w:pPr>
    <w:rPr>
      <w:sz w:val="20"/>
      <w:szCs w:val="20"/>
    </w:rPr>
  </w:style>
  <w:style w:type="character" w:customStyle="1" w:styleId="CommentaireCar">
    <w:name w:val="Commentaire Car"/>
    <w:basedOn w:val="Policepardfaut"/>
    <w:link w:val="Commentaire"/>
    <w:uiPriority w:val="99"/>
    <w:rsid w:val="007134B6"/>
    <w:rPr>
      <w:rFonts w:ascii="Arial" w:eastAsia="Arial" w:hAnsi="Arial" w:cs="Arial"/>
      <w:sz w:val="20"/>
      <w:szCs w:val="20"/>
      <w:lang w:val="fr" w:eastAsia="fr-FR"/>
    </w:rPr>
  </w:style>
  <w:style w:type="character" w:styleId="Lienhypertexte">
    <w:name w:val="Hyperlink"/>
    <w:basedOn w:val="Policepardfaut"/>
    <w:uiPriority w:val="99"/>
    <w:unhideWhenUsed/>
    <w:rsid w:val="00F15848"/>
    <w:rPr>
      <w:color w:val="0563C1" w:themeColor="hyperlink"/>
      <w:u w:val="single"/>
    </w:rPr>
  </w:style>
  <w:style w:type="character" w:styleId="Mentionnonrsolue">
    <w:name w:val="Unresolved Mention"/>
    <w:basedOn w:val="Policepardfaut"/>
    <w:uiPriority w:val="99"/>
    <w:semiHidden/>
    <w:unhideWhenUsed/>
    <w:rsid w:val="00F15848"/>
    <w:rPr>
      <w:color w:val="605E5C"/>
      <w:shd w:val="clear" w:color="auto" w:fill="E1DFDD"/>
    </w:rPr>
  </w:style>
  <w:style w:type="paragraph" w:styleId="En-tte">
    <w:name w:val="header"/>
    <w:basedOn w:val="Normal"/>
    <w:link w:val="En-tteCar"/>
    <w:uiPriority w:val="99"/>
    <w:unhideWhenUsed/>
    <w:rsid w:val="008526BE"/>
    <w:pPr>
      <w:tabs>
        <w:tab w:val="center" w:pos="4536"/>
        <w:tab w:val="right" w:pos="9072"/>
      </w:tabs>
      <w:spacing w:line="240" w:lineRule="auto"/>
    </w:pPr>
  </w:style>
  <w:style w:type="character" w:customStyle="1" w:styleId="En-tteCar">
    <w:name w:val="En-tête Car"/>
    <w:basedOn w:val="Policepardfaut"/>
    <w:link w:val="En-tte"/>
    <w:uiPriority w:val="99"/>
    <w:rsid w:val="008526BE"/>
    <w:rPr>
      <w:rFonts w:ascii="Arial" w:eastAsia="Arial" w:hAnsi="Arial" w:cs="Arial"/>
      <w:lang w:val="fr" w:eastAsia="fr-FR"/>
    </w:rPr>
  </w:style>
  <w:style w:type="paragraph" w:styleId="Pieddepage">
    <w:name w:val="footer"/>
    <w:basedOn w:val="Normal"/>
    <w:link w:val="PieddepageCar"/>
    <w:uiPriority w:val="99"/>
    <w:unhideWhenUsed/>
    <w:rsid w:val="008526BE"/>
    <w:pPr>
      <w:tabs>
        <w:tab w:val="center" w:pos="4536"/>
        <w:tab w:val="right" w:pos="9072"/>
      </w:tabs>
      <w:spacing w:line="240" w:lineRule="auto"/>
    </w:pPr>
  </w:style>
  <w:style w:type="character" w:customStyle="1" w:styleId="PieddepageCar">
    <w:name w:val="Pied de page Car"/>
    <w:basedOn w:val="Policepardfaut"/>
    <w:link w:val="Pieddepage"/>
    <w:uiPriority w:val="99"/>
    <w:rsid w:val="008526BE"/>
    <w:rPr>
      <w:rFonts w:ascii="Arial" w:eastAsia="Arial" w:hAnsi="Arial" w:cs="Arial"/>
      <w:lang w:val="fr" w:eastAsia="fr-FR"/>
    </w:rPr>
  </w:style>
  <w:style w:type="paragraph" w:customStyle="1" w:styleId="Contact">
    <w:name w:val="Contact"/>
    <w:basedOn w:val="Normal"/>
    <w:rsid w:val="008526BE"/>
    <w:pPr>
      <w:spacing w:line="216" w:lineRule="exact"/>
    </w:pPr>
    <w:rPr>
      <w:rFonts w:ascii="Vinci Sans Medium" w:eastAsia="Times New Roman" w:hAnsi="Vinci Sans Medium" w:cs="Times New Roman"/>
      <w:sz w:val="20"/>
      <w:szCs w:val="20"/>
      <w:lang w:val="fr-FR"/>
    </w:rPr>
  </w:style>
  <w:style w:type="paragraph" w:styleId="Paragraphedeliste">
    <w:name w:val="List Paragraph"/>
    <w:basedOn w:val="Normal"/>
    <w:uiPriority w:val="34"/>
    <w:qFormat/>
    <w:rsid w:val="00495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93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valcke@biocodex.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ocodexmicrobiotainstitute.com/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ocodexmicrobiotainstitute.com/fr/diarrhee-associee-aux-antibiotiqu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tienn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57EB-64E3-480E-A9B3-12EF8074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1716</Words>
  <Characters>9444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VALCKE Olivier</dc:creator>
  <cp:keywords/>
  <dc:description/>
  <cp:lastModifiedBy>ENOU Clémence</cp:lastModifiedBy>
  <cp:revision>4</cp:revision>
  <dcterms:created xsi:type="dcterms:W3CDTF">2023-06-13T08:22:00Z</dcterms:created>
  <dcterms:modified xsi:type="dcterms:W3CDTF">2023-06-14T08:31:00Z</dcterms:modified>
</cp:coreProperties>
</file>