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4539" w14:textId="77777777" w:rsidR="0030077A" w:rsidRDefault="0030077A">
      <w:pPr>
        <w:rPr>
          <w:rFonts w:ascii="Fira Sans Medium" w:eastAsia="Fira Sans Medium" w:hAnsi="Fira Sans Medium" w:cs="Fira Sans Medium"/>
          <w:color w:val="200F40"/>
        </w:rPr>
      </w:pPr>
    </w:p>
    <w:p w14:paraId="27FC7912" w14:textId="77777777" w:rsidR="0030077A" w:rsidRDefault="00AE2834">
      <w:pPr>
        <w:rPr>
          <w:rFonts w:ascii="Fira Sans Medium" w:eastAsia="Fira Sans Medium" w:hAnsi="Fira Sans Medium" w:cs="Fira Sans Medium"/>
          <w:color w:val="200F40"/>
          <w:sz w:val="24"/>
          <w:szCs w:val="24"/>
        </w:rPr>
      </w:pPr>
      <w:r>
        <w:rPr>
          <w:rFonts w:ascii="Fira Sans Medium" w:hAnsi="Fira Sans Medium"/>
          <w:color w:val="200F40"/>
          <w:sz w:val="24"/>
        </w:rPr>
        <w:t>Comunicado de imprensa</w:t>
      </w:r>
    </w:p>
    <w:p w14:paraId="1BBD6775" w14:textId="77777777" w:rsidR="0030077A" w:rsidRDefault="00AE2834" w:rsidP="009608C7">
      <w:pPr>
        <w:jc w:val="right"/>
        <w:rPr>
          <w:rFonts w:ascii="Fira Sans" w:eastAsia="Fira Sans" w:hAnsi="Fira Sans" w:cs="Fira Sans"/>
          <w:color w:val="943B91"/>
        </w:rPr>
      </w:pPr>
      <w:r>
        <w:rPr>
          <w:rFonts w:ascii="Fira Sans" w:hAnsi="Fira Sans"/>
          <w:color w:val="943B91"/>
        </w:rPr>
        <w:t>27 de junho de 2023</w:t>
      </w:r>
    </w:p>
    <w:p w14:paraId="4C36A4A8" w14:textId="77777777" w:rsidR="0030077A" w:rsidRDefault="0030077A">
      <w:pPr>
        <w:jc w:val="center"/>
        <w:rPr>
          <w:rFonts w:ascii="Fira Sans" w:eastAsia="Fira Sans" w:hAnsi="Fira Sans" w:cs="Fira Sans"/>
          <w:b/>
        </w:rPr>
      </w:pPr>
    </w:p>
    <w:p w14:paraId="6757A0DD" w14:textId="77777777" w:rsidR="0030077A" w:rsidRDefault="0030077A">
      <w:pPr>
        <w:jc w:val="center"/>
        <w:rPr>
          <w:rFonts w:ascii="Fira Sans" w:eastAsia="Fira Sans" w:hAnsi="Fira Sans" w:cs="Fira Sans"/>
          <w:b/>
        </w:rPr>
      </w:pPr>
    </w:p>
    <w:tbl>
      <w:tblPr>
        <w:tblStyle w:val="a"/>
        <w:tblW w:w="9105" w:type="dxa"/>
        <w:tblInd w:w="-57" w:type="dxa"/>
        <w:tblLayout w:type="fixed"/>
        <w:tblLook w:val="0000" w:firstRow="0" w:lastRow="0" w:firstColumn="0" w:lastColumn="0" w:noHBand="0" w:noVBand="0"/>
      </w:tblPr>
      <w:tblGrid>
        <w:gridCol w:w="9105"/>
      </w:tblGrid>
      <w:tr w:rsidR="0030077A" w14:paraId="58FF18F7" w14:textId="77777777">
        <w:trPr>
          <w:trHeight w:val="1050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shd w:val="clear" w:color="auto" w:fill="F2E9E2"/>
          </w:tcPr>
          <w:p w14:paraId="27C32457" w14:textId="77777777" w:rsidR="0030077A" w:rsidRDefault="0030077A">
            <w:pPr>
              <w:rPr>
                <w:rFonts w:ascii="Fira Sans Medium" w:eastAsia="Fira Sans Medium" w:hAnsi="Fira Sans Medium" w:cs="Fira Sans Medium"/>
                <w:color w:val="943B91"/>
                <w:sz w:val="32"/>
                <w:szCs w:val="32"/>
              </w:rPr>
            </w:pPr>
          </w:p>
          <w:p w14:paraId="0455E038" w14:textId="77777777" w:rsidR="0030077A" w:rsidRDefault="00AE2834">
            <w:pPr>
              <w:jc w:val="center"/>
              <w:rPr>
                <w:rFonts w:ascii="Fira Sans Medium" w:eastAsia="Fira Sans Medium" w:hAnsi="Fira Sans Medium" w:cs="Fira Sans Medium"/>
                <w:color w:val="943B91"/>
                <w:sz w:val="24"/>
                <w:szCs w:val="24"/>
              </w:rPr>
            </w:pPr>
            <w:r>
              <w:rPr>
                <w:rFonts w:ascii="Fira Sans Medium" w:hAnsi="Fira Sans Medium"/>
                <w:color w:val="943B91"/>
                <w:sz w:val="24"/>
              </w:rPr>
              <w:t>1.ª edição do Observatório Internacional das Microbiotas</w:t>
            </w:r>
          </w:p>
          <w:p w14:paraId="03CCC548" w14:textId="77777777" w:rsidR="0030077A" w:rsidRDefault="0030077A">
            <w:pPr>
              <w:jc w:val="center"/>
              <w:rPr>
                <w:rFonts w:ascii="Fira Sans" w:eastAsia="Fira Sans" w:hAnsi="Fira Sans" w:cs="Fira Sans"/>
                <w:b/>
                <w:sz w:val="16"/>
                <w:szCs w:val="16"/>
              </w:rPr>
            </w:pPr>
          </w:p>
          <w:p w14:paraId="2A3B4231" w14:textId="3CD656A4" w:rsidR="00AE2834" w:rsidRDefault="00376ABA">
            <w:pPr>
              <w:jc w:val="center"/>
              <w:rPr>
                <w:rFonts w:ascii="Fira Sans SemiBold" w:eastAsia="Fira Sans SemiBold" w:hAnsi="Fira Sans SemiBold" w:cs="Fira Sans SemiBold"/>
                <w:color w:val="200F40"/>
                <w:sz w:val="26"/>
                <w:szCs w:val="26"/>
              </w:rPr>
            </w:pPr>
            <w:r>
              <w:rPr>
                <w:rFonts w:ascii="Fira Sans SemiBold" w:hAnsi="Fira Sans SemiBold"/>
                <w:color w:val="200F40"/>
                <w:sz w:val="26"/>
              </w:rPr>
              <w:t>As m</w:t>
            </w:r>
            <w:r w:rsidR="00AE2834">
              <w:rPr>
                <w:rFonts w:ascii="Fira Sans SemiBold" w:hAnsi="Fira Sans SemiBold"/>
                <w:color w:val="200F40"/>
                <w:sz w:val="26"/>
              </w:rPr>
              <w:t>icrobiotas</w:t>
            </w:r>
            <w:r>
              <w:rPr>
                <w:rFonts w:ascii="Fira Sans SemiBold" w:hAnsi="Fira Sans SemiBold"/>
                <w:color w:val="200F40"/>
                <w:sz w:val="26"/>
              </w:rPr>
              <w:t xml:space="preserve"> são</w:t>
            </w:r>
            <w:r w:rsidR="00AE2834">
              <w:rPr>
                <w:rFonts w:ascii="Fira Sans SemiBold" w:hAnsi="Fira Sans SemiBold"/>
                <w:color w:val="200F40"/>
                <w:sz w:val="26"/>
              </w:rPr>
              <w:t xml:space="preserve"> essenciais para a saúde, </w:t>
            </w:r>
            <w:r>
              <w:rPr>
                <w:rFonts w:ascii="Fira Sans SemiBold" w:hAnsi="Fira Sans SemiBold"/>
                <w:color w:val="200F40"/>
                <w:sz w:val="26"/>
              </w:rPr>
              <w:br/>
            </w:r>
            <w:r w:rsidR="00AE2834">
              <w:rPr>
                <w:rFonts w:ascii="Fira Sans SemiBold" w:hAnsi="Fira Sans SemiBold"/>
                <w:color w:val="200F40"/>
                <w:sz w:val="26"/>
              </w:rPr>
              <w:t>mas</w:t>
            </w:r>
            <w:r>
              <w:rPr>
                <w:rFonts w:ascii="Fira Sans SemiBold" w:hAnsi="Fira Sans SemiBold"/>
                <w:color w:val="200F40"/>
                <w:sz w:val="26"/>
              </w:rPr>
              <w:t xml:space="preserve"> são </w:t>
            </w:r>
            <w:r w:rsidR="00AE2834">
              <w:rPr>
                <w:rFonts w:ascii="Fira Sans SemiBold" w:hAnsi="Fira Sans SemiBold"/>
                <w:color w:val="200F40"/>
                <w:sz w:val="26"/>
              </w:rPr>
              <w:t xml:space="preserve">pouco conhecidas no mundo. </w:t>
            </w:r>
          </w:p>
          <w:p w14:paraId="66972670" w14:textId="286E584F" w:rsidR="0030077A" w:rsidRDefault="009608C7">
            <w:pPr>
              <w:jc w:val="center"/>
              <w:rPr>
                <w:rFonts w:ascii="Fira Sans SemiBold" w:hAnsi="Fira Sans SemiBold"/>
                <w:color w:val="200F40"/>
                <w:sz w:val="26"/>
              </w:rPr>
            </w:pPr>
            <w:r w:rsidRPr="009608C7">
              <w:rPr>
                <w:rFonts w:ascii="Fira Sans SemiBold" w:hAnsi="Fira Sans SemiBold"/>
                <w:color w:val="200F40"/>
                <w:sz w:val="26"/>
              </w:rPr>
              <w:t>Os espanhóis têm um conhecimento muito limitado sobre as microbiotas e</w:t>
            </w:r>
            <w:r>
              <w:rPr>
                <w:rFonts w:ascii="Fira Sans SemiBold" w:hAnsi="Fira Sans SemiBold"/>
                <w:color w:val="200F40"/>
                <w:sz w:val="26"/>
              </w:rPr>
              <w:t> </w:t>
            </w:r>
            <w:r w:rsidRPr="009608C7">
              <w:rPr>
                <w:rFonts w:ascii="Fira Sans SemiBold" w:hAnsi="Fira Sans SemiBold"/>
                <w:color w:val="200F40"/>
                <w:sz w:val="26"/>
              </w:rPr>
              <w:t>sobre os comportamentos que devem adotar para as preservar o</w:t>
            </w:r>
            <w:r>
              <w:rPr>
                <w:rFonts w:ascii="Fira Sans SemiBold" w:hAnsi="Fira Sans SemiBold"/>
                <w:color w:val="200F40"/>
                <w:sz w:val="26"/>
              </w:rPr>
              <w:t> </w:t>
            </w:r>
            <w:r w:rsidRPr="009608C7">
              <w:rPr>
                <w:rFonts w:ascii="Fira Sans SemiBold" w:hAnsi="Fira Sans SemiBold"/>
                <w:color w:val="200F40"/>
                <w:sz w:val="26"/>
              </w:rPr>
              <w:t>melhor</w:t>
            </w:r>
            <w:r>
              <w:rPr>
                <w:rFonts w:ascii="Fira Sans SemiBold" w:hAnsi="Fira Sans SemiBold"/>
                <w:color w:val="200F40"/>
                <w:sz w:val="26"/>
              </w:rPr>
              <w:t> </w:t>
            </w:r>
            <w:r w:rsidRPr="009608C7">
              <w:rPr>
                <w:rFonts w:ascii="Fira Sans SemiBold" w:hAnsi="Fira Sans SemiBold"/>
                <w:color w:val="200F40"/>
                <w:sz w:val="26"/>
              </w:rPr>
              <w:t>possível.</w:t>
            </w:r>
          </w:p>
          <w:p w14:paraId="075791E5" w14:textId="77777777" w:rsidR="009608C7" w:rsidRDefault="009608C7">
            <w:pPr>
              <w:jc w:val="center"/>
              <w:rPr>
                <w:rFonts w:ascii="Fira Sans" w:eastAsia="Fira Sans" w:hAnsi="Fira Sans" w:cs="Fira Sans"/>
                <w:b/>
                <w:sz w:val="32"/>
                <w:szCs w:val="32"/>
              </w:rPr>
            </w:pPr>
          </w:p>
          <w:p w14:paraId="4FAA72B3" w14:textId="77777777" w:rsidR="0030077A" w:rsidRDefault="00AE2834">
            <w:pPr>
              <w:jc w:val="center"/>
              <w:rPr>
                <w:rFonts w:ascii="Fira Sans" w:eastAsia="Fira Sans" w:hAnsi="Fira Sans" w:cs="Fira Sans"/>
                <w:b/>
                <w:color w:val="200F40"/>
                <w:sz w:val="32"/>
                <w:szCs w:val="32"/>
              </w:rPr>
            </w:pPr>
            <w:r>
              <w:rPr>
                <w:rFonts w:ascii="Fira Sans" w:hAnsi="Fira Sans"/>
                <w:b/>
                <w:color w:val="200F40"/>
                <w:sz w:val="28"/>
                <w:shd w:val="clear" w:color="auto" w:fill="200F40"/>
              </w:rPr>
              <w:t>.</w:t>
            </w:r>
            <w:r>
              <w:rPr>
                <w:rFonts w:ascii="Fira Sans" w:hAnsi="Fira Sans"/>
                <w:b/>
                <w:color w:val="FFFFFF"/>
                <w:sz w:val="28"/>
                <w:shd w:val="clear" w:color="auto" w:fill="200F40"/>
              </w:rPr>
              <w:t>Sondagem sob embargo até 27 de junho, às 05:00 horas da manhã</w:t>
            </w:r>
            <w:r>
              <w:rPr>
                <w:rFonts w:ascii="Fira Sans" w:hAnsi="Fira Sans"/>
                <w:b/>
                <w:color w:val="200F40"/>
                <w:sz w:val="28"/>
                <w:shd w:val="clear" w:color="auto" w:fill="200F40"/>
              </w:rPr>
              <w:t>.</w:t>
            </w:r>
            <w:r>
              <w:rPr>
                <w:rFonts w:ascii="Fira Sans" w:hAnsi="Fira Sans"/>
                <w:b/>
                <w:color w:val="200F40"/>
                <w:sz w:val="28"/>
                <w:highlight w:val="green"/>
              </w:rPr>
              <w:br/>
            </w:r>
          </w:p>
        </w:tc>
      </w:tr>
    </w:tbl>
    <w:p w14:paraId="4D6D90B3" w14:textId="77777777" w:rsidR="0030077A" w:rsidRDefault="0030077A">
      <w:pPr>
        <w:jc w:val="both"/>
        <w:rPr>
          <w:rFonts w:ascii="Fira Sans" w:eastAsia="Fira Sans" w:hAnsi="Fira Sans" w:cs="Fira Sans"/>
          <w:i/>
          <w:sz w:val="20"/>
          <w:szCs w:val="20"/>
        </w:rPr>
      </w:pPr>
    </w:p>
    <w:p w14:paraId="7F54FC1D" w14:textId="77777777" w:rsidR="0030077A" w:rsidRDefault="0030077A">
      <w:pPr>
        <w:jc w:val="both"/>
        <w:rPr>
          <w:rFonts w:ascii="Fira Sans" w:eastAsia="Fira Sans" w:hAnsi="Fira Sans" w:cs="Fira Sans"/>
          <w:i/>
          <w:sz w:val="20"/>
          <w:szCs w:val="20"/>
        </w:rPr>
      </w:pPr>
    </w:p>
    <w:p w14:paraId="7A58E39C" w14:textId="4E4D681F" w:rsidR="0030077A" w:rsidRDefault="00AE2834">
      <w:pPr>
        <w:spacing w:after="120"/>
        <w:ind w:firstLine="720"/>
        <w:jc w:val="both"/>
        <w:rPr>
          <w:rFonts w:ascii="Fira Sans" w:eastAsia="Fira Sans" w:hAnsi="Fira Sans" w:cs="Fira Sans"/>
          <w:i/>
          <w:color w:val="200F40"/>
        </w:rPr>
      </w:pPr>
      <w:r>
        <w:rPr>
          <w:rFonts w:ascii="Fira Sans" w:hAnsi="Fira Sans"/>
          <w:i/>
          <w:color w:val="200F40"/>
        </w:rPr>
        <w:t xml:space="preserve">A microbiota é constituída por milhares de milhões de microrganismos (bactérias, vírus, fungos, etc.) que vivem em simbiose com o nosso organismo. Possuímos uma microbiota intestinal, mas também uma microbiota cutânea, uma microbiota </w:t>
      </w:r>
      <w:r w:rsidR="00376ABA">
        <w:rPr>
          <w:rFonts w:ascii="Fira Sans" w:hAnsi="Fira Sans"/>
          <w:i/>
          <w:color w:val="200F40"/>
        </w:rPr>
        <w:t>oral</w:t>
      </w:r>
      <w:r>
        <w:rPr>
          <w:rFonts w:ascii="Fira Sans" w:hAnsi="Fira Sans"/>
          <w:i/>
          <w:color w:val="200F40"/>
        </w:rPr>
        <w:t xml:space="preserve">, </w:t>
      </w:r>
      <w:r w:rsidR="00376ABA">
        <w:rPr>
          <w:rFonts w:ascii="Fira Sans" w:hAnsi="Fira Sans"/>
          <w:i/>
          <w:color w:val="200F40"/>
        </w:rPr>
        <w:t xml:space="preserve">uma microbiota </w:t>
      </w:r>
      <w:r>
        <w:rPr>
          <w:rFonts w:ascii="Fira Sans" w:hAnsi="Fira Sans"/>
          <w:i/>
          <w:color w:val="200F40"/>
        </w:rPr>
        <w:t>pulm</w:t>
      </w:r>
      <w:r w:rsidR="00376ABA">
        <w:rPr>
          <w:rFonts w:ascii="Fira Sans" w:hAnsi="Fira Sans"/>
          <w:i/>
          <w:color w:val="200F40"/>
        </w:rPr>
        <w:t>onar</w:t>
      </w:r>
      <w:r>
        <w:rPr>
          <w:rFonts w:ascii="Fira Sans" w:hAnsi="Fira Sans"/>
          <w:i/>
          <w:color w:val="200F40"/>
        </w:rPr>
        <w:t xml:space="preserve">, uma microbiota urinária, uma microbiota vaginal... Todas estas microbiotas desempenham um papel essencial na nossa saúde. Mas o que é que os nossos concidadãos sabem atualmente sobre o papel da microbiota? O que é que eles conhecem sobre como cuidar da sua microbiota? Sofrem atualmente de problemas de saúde que associam à sua microbiota? Que papel desempenham hoje em dia os profissionais de saúde na informação dos doentes sobre os comportamentos que devem adotar para preservar o equilíbrio das suas microbiotas? Para responder a estas perguntas, </w:t>
      </w:r>
      <w:r>
        <w:rPr>
          <w:rFonts w:ascii="Fira Sans" w:hAnsi="Fira Sans"/>
          <w:b/>
          <w:bCs/>
          <w:i/>
          <w:color w:val="200F40"/>
        </w:rPr>
        <w:t>o Biocodex Microbiota Institute pediu à Ipsos que realizasse um grande inquérito internacional abrangendo 6.500 pessoas em 7 países</w:t>
      </w:r>
      <w:r>
        <w:rPr>
          <w:rFonts w:ascii="Fira Sans" w:hAnsi="Fira Sans"/>
          <w:i/>
          <w:color w:val="200F40"/>
        </w:rPr>
        <w:t xml:space="preserve"> (França, Espanha, Portugal, Estados Unidos, Brasil, México e China): o Observatório Internacional das Microbiotas. </w:t>
      </w:r>
      <w:r>
        <w:rPr>
          <w:rFonts w:ascii="Fira Sans" w:hAnsi="Fira Sans"/>
          <w:b/>
          <w:i/>
          <w:color w:val="943B91"/>
        </w:rPr>
        <w:t xml:space="preserve">Para além das disparidades geográficas em termos de comportamento, este inquérito exclusivo revela um desconhecimento geral do papel da microbiota na saúde e sublinha </w:t>
      </w:r>
      <w:r w:rsidR="00376ABA">
        <w:rPr>
          <w:rFonts w:ascii="Fira Sans" w:hAnsi="Fira Sans"/>
          <w:b/>
          <w:i/>
          <w:color w:val="943B91"/>
        </w:rPr>
        <w:t xml:space="preserve">a função </w:t>
      </w:r>
      <w:r>
        <w:rPr>
          <w:rFonts w:ascii="Fira Sans" w:hAnsi="Fira Sans"/>
          <w:b/>
          <w:i/>
          <w:color w:val="943B91"/>
        </w:rPr>
        <w:t>essencial desempenhad</w:t>
      </w:r>
      <w:r w:rsidR="00376ABA">
        <w:rPr>
          <w:rFonts w:ascii="Fira Sans" w:hAnsi="Fira Sans"/>
          <w:b/>
          <w:i/>
          <w:color w:val="943B91"/>
        </w:rPr>
        <w:t>a</w:t>
      </w:r>
      <w:r>
        <w:rPr>
          <w:rFonts w:ascii="Fira Sans" w:hAnsi="Fira Sans"/>
          <w:b/>
          <w:i/>
          <w:color w:val="943B91"/>
        </w:rPr>
        <w:t xml:space="preserve"> pelos profissionais de saúde para se assegurar essa compreensão. </w:t>
      </w:r>
      <w:r>
        <w:rPr>
          <w:rFonts w:ascii="Fira Sans" w:hAnsi="Fira Sans"/>
          <w:i/>
          <w:color w:val="200F40"/>
        </w:rPr>
        <w:t>Os resultados foram apresentados em 27 de junho de 2023, Dia Mundial d</w:t>
      </w:r>
      <w:r w:rsidR="00376ABA">
        <w:rPr>
          <w:rFonts w:ascii="Fira Sans" w:hAnsi="Fira Sans"/>
          <w:i/>
          <w:color w:val="200F40"/>
        </w:rPr>
        <w:t>a</w:t>
      </w:r>
      <w:r>
        <w:rPr>
          <w:rFonts w:ascii="Fira Sans" w:hAnsi="Fira Sans"/>
          <w:i/>
          <w:color w:val="200F40"/>
        </w:rPr>
        <w:t xml:space="preserve"> Microbio</w:t>
      </w:r>
      <w:r w:rsidR="00376ABA">
        <w:rPr>
          <w:rFonts w:ascii="Fira Sans" w:hAnsi="Fira Sans"/>
          <w:i/>
          <w:color w:val="200F40"/>
        </w:rPr>
        <w:t>t</w:t>
      </w:r>
      <w:r>
        <w:rPr>
          <w:rFonts w:ascii="Fira Sans" w:hAnsi="Fira Sans"/>
          <w:i/>
          <w:color w:val="200F40"/>
        </w:rPr>
        <w:t>a.</w:t>
      </w:r>
    </w:p>
    <w:p w14:paraId="78B5C412" w14:textId="77777777" w:rsidR="00AE2834" w:rsidRDefault="00AE2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Fira Sans" w:eastAsia="Fira Sans" w:hAnsi="Fira Sans" w:cs="Fira Sans"/>
          <w:color w:val="943B91"/>
          <w:sz w:val="24"/>
          <w:szCs w:val="24"/>
        </w:rPr>
      </w:pPr>
    </w:p>
    <w:p w14:paraId="78E4B67E" w14:textId="77777777" w:rsidR="00AE2834" w:rsidRDefault="00AE2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Fira Sans" w:eastAsia="Fira Sans" w:hAnsi="Fira Sans" w:cs="Fira Sans"/>
          <w:color w:val="943B91"/>
          <w:sz w:val="24"/>
          <w:szCs w:val="24"/>
        </w:rPr>
      </w:pPr>
    </w:p>
    <w:p w14:paraId="420F60B4" w14:textId="77777777" w:rsidR="00AE2834" w:rsidRDefault="00AE2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Fira Sans" w:eastAsia="Fira Sans" w:hAnsi="Fira Sans" w:cs="Fira Sans"/>
          <w:color w:val="943B91"/>
          <w:sz w:val="24"/>
          <w:szCs w:val="24"/>
        </w:rPr>
      </w:pPr>
    </w:p>
    <w:p w14:paraId="6A6279FB" w14:textId="793A0644" w:rsidR="0030077A" w:rsidRDefault="00AE2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Fira Sans ExtraBold" w:eastAsia="Fira Sans ExtraBold" w:hAnsi="Fira Sans ExtraBold" w:cs="Fira Sans ExtraBold"/>
          <w:color w:val="943B91"/>
          <w:sz w:val="28"/>
          <w:szCs w:val="28"/>
        </w:rPr>
      </w:pPr>
      <w:r>
        <w:rPr>
          <w:rFonts w:ascii="Fira Sans ExtraBold" w:hAnsi="Fira Sans ExtraBold"/>
          <w:color w:val="943B91"/>
          <w:sz w:val="28"/>
        </w:rPr>
        <w:lastRenderedPageBreak/>
        <w:t>Um baixo nível de conhecimento sobre o papel das microbiotas</w:t>
      </w:r>
    </w:p>
    <w:p w14:paraId="5EEE881F" w14:textId="77777777" w:rsidR="0030077A" w:rsidRDefault="00AE2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Fira Sans ExtraBold" w:eastAsia="Fira Sans ExtraBold" w:hAnsi="Fira Sans ExtraBold" w:cs="Fira Sans ExtraBold"/>
          <w:color w:val="943B91"/>
          <w:sz w:val="28"/>
          <w:szCs w:val="28"/>
        </w:rPr>
      </w:pPr>
      <w:r>
        <w:rPr>
          <w:rFonts w:ascii="Fira Sans ExtraBold" w:hAnsi="Fira Sans ExtraBold"/>
          <w:color w:val="943B91"/>
          <w:sz w:val="28"/>
        </w:rPr>
        <w:t>na saúde</w:t>
      </w:r>
    </w:p>
    <w:p w14:paraId="7FE8E35A" w14:textId="77777777" w:rsidR="0030077A" w:rsidRDefault="003007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ira Sans" w:eastAsia="Fira Sans" w:hAnsi="Fira Sans" w:cs="Fira Sans"/>
          <w:color w:val="000000"/>
        </w:rPr>
      </w:pPr>
    </w:p>
    <w:p w14:paraId="2466E896" w14:textId="412809E1" w:rsidR="0030077A" w:rsidRDefault="00AE28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00F40"/>
        </w:rPr>
      </w:pPr>
      <w:r>
        <w:rPr>
          <w:rFonts w:ascii="Fira Sans" w:hAnsi="Fira Sans"/>
          <w:b/>
          <w:color w:val="200F40"/>
        </w:rPr>
        <w:t>Apenas 1 em cada 5 pessoas afirma saber o significado exato do termo microbiota (21%).</w:t>
      </w:r>
      <w:r>
        <w:rPr>
          <w:rFonts w:ascii="Fira Sans" w:hAnsi="Fira Sans"/>
          <w:color w:val="200F40"/>
        </w:rPr>
        <w:t xml:space="preserve"> A microbiota intestinal continua a ser a mais conhecid</w:t>
      </w:r>
      <w:r w:rsidR="00376ABA">
        <w:rPr>
          <w:rFonts w:ascii="Fira Sans" w:hAnsi="Fira Sans"/>
          <w:color w:val="200F40"/>
        </w:rPr>
        <w:t>a</w:t>
      </w:r>
      <w:r>
        <w:rPr>
          <w:rFonts w:ascii="Fira Sans" w:hAnsi="Fira Sans"/>
          <w:color w:val="200F40"/>
        </w:rPr>
        <w:t xml:space="preserve">, com 53% dos inquiridos familiarizados com o termo, mas apenas 24% afirmam saber exatamente o que é. As outras microbiotas são muito menos conhecidas, com, por ordem, a microbiota vaginal (45% dos entrevistados conhecem o termo, mas apenas 18% sabem exatamente o que é), a microbiota oral (43% conhecem-na pelo nome, mas só 17% sabem o que é) e a microbiota cutânea (40% conhecem a designação, e unicamente 15% sabem o que é que designa). </w:t>
      </w:r>
    </w:p>
    <w:p w14:paraId="1AF583C2" w14:textId="3DDA3668" w:rsidR="0030077A" w:rsidRDefault="00AE28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00F40"/>
        </w:rPr>
      </w:pPr>
      <w:r>
        <w:rPr>
          <w:rFonts w:ascii="Fira Sans" w:hAnsi="Fira Sans"/>
          <w:color w:val="200F40"/>
        </w:rPr>
        <w:t xml:space="preserve">3 em cada 4 entrevistados estão conscientes de que um risco de desequilíbrio das microbiotas pode ter consequências graves para a saúde (75%). 74% dos inquiridos afirmaram que o que comemos tem um impacto importante no equilíbrio da nossa microbiota e 72% que </w:t>
      </w:r>
      <w:r w:rsidR="00A81B61">
        <w:rPr>
          <w:rFonts w:ascii="Fira Sans" w:hAnsi="Fira Sans"/>
          <w:color w:val="200F40"/>
        </w:rPr>
        <w:t>a microbiota</w:t>
      </w:r>
      <w:r>
        <w:rPr>
          <w:rFonts w:ascii="Fira Sans" w:hAnsi="Fira Sans"/>
          <w:color w:val="200F40"/>
        </w:rPr>
        <w:t xml:space="preserve"> desempenha um papel real nos mecanismos de defesa imunitária. </w:t>
      </w:r>
    </w:p>
    <w:p w14:paraId="57CC64F8" w14:textId="4F6622F1" w:rsidR="0030077A" w:rsidRDefault="00AE28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00F40"/>
        </w:rPr>
      </w:pPr>
      <w:r>
        <w:rPr>
          <w:rFonts w:ascii="Fira Sans" w:hAnsi="Fira Sans"/>
          <w:b/>
          <w:color w:val="200F40"/>
        </w:rPr>
        <w:t>Mas mais de</w:t>
      </w:r>
      <w:r w:rsidR="00376ABA">
        <w:rPr>
          <w:rFonts w:ascii="Fira Sans" w:hAnsi="Fira Sans"/>
          <w:b/>
          <w:color w:val="200F40"/>
        </w:rPr>
        <w:t xml:space="preserve"> </w:t>
      </w:r>
      <w:r>
        <w:rPr>
          <w:rFonts w:ascii="Fira Sans" w:hAnsi="Fira Sans"/>
          <w:b/>
          <w:color w:val="200F40"/>
        </w:rPr>
        <w:t>1 em cada 3 pessoas não sabe</w:t>
      </w:r>
      <w:r w:rsidR="00376ABA">
        <w:rPr>
          <w:rFonts w:ascii="Fira Sans" w:hAnsi="Fira Sans"/>
          <w:b/>
          <w:color w:val="200F40"/>
        </w:rPr>
        <w:t>m</w:t>
      </w:r>
      <w:r>
        <w:rPr>
          <w:rFonts w:ascii="Fira Sans" w:hAnsi="Fira Sans"/>
          <w:b/>
          <w:color w:val="200F40"/>
        </w:rPr>
        <w:t xml:space="preserve"> que os antibióticos têm impacto nas nossas microbiotas (34%).</w:t>
      </w:r>
      <w:r>
        <w:rPr>
          <w:rFonts w:ascii="Fira Sans" w:hAnsi="Fira Sans"/>
          <w:color w:val="200F40"/>
        </w:rPr>
        <w:t xml:space="preserve"> A grande maioria dos entrevistados não sabia que certas doenças não digestivas, como a doença de Parkinson, a doença de Alzheimer ou o autismo, podem estar ligadas às microbiotas (75%). </w:t>
      </w:r>
    </w:p>
    <w:p w14:paraId="574A6079" w14:textId="77777777" w:rsidR="0030077A" w:rsidRDefault="0030077A">
      <w:pPr>
        <w:rPr>
          <w:rFonts w:ascii="Fira Sans" w:eastAsia="Fira Sans" w:hAnsi="Fira Sans" w:cs="Fira Sans"/>
          <w:color w:val="943B91"/>
        </w:rPr>
      </w:pPr>
    </w:p>
    <w:p w14:paraId="5B63EEC0" w14:textId="0C7F59FF" w:rsidR="0030077A" w:rsidRDefault="00AE2834">
      <w:pPr>
        <w:rPr>
          <w:rFonts w:ascii="Fira Sans ExtraBold" w:eastAsia="Fira Sans ExtraBold" w:hAnsi="Fira Sans ExtraBold" w:cs="Fira Sans ExtraBold"/>
          <w:color w:val="943B91"/>
          <w:sz w:val="28"/>
          <w:szCs w:val="28"/>
        </w:rPr>
      </w:pPr>
      <w:r>
        <w:rPr>
          <w:rFonts w:ascii="Fira Sans ExtraBold" w:hAnsi="Fira Sans ExtraBold"/>
          <w:color w:val="943B91"/>
          <w:sz w:val="28"/>
        </w:rPr>
        <w:t>… e uma tímida tomada de consciência dos comportamentos</w:t>
      </w:r>
      <w:r w:rsidR="00376ABA">
        <w:rPr>
          <w:rFonts w:ascii="Fira Sans ExtraBold" w:hAnsi="Fira Sans ExtraBold"/>
          <w:color w:val="943B91"/>
          <w:sz w:val="28"/>
        </w:rPr>
        <w:t xml:space="preserve"> correctos</w:t>
      </w:r>
    </w:p>
    <w:p w14:paraId="23CB3210" w14:textId="0A1D5F52" w:rsidR="0030077A" w:rsidRDefault="00AE2834">
      <w:pPr>
        <w:rPr>
          <w:rFonts w:ascii="Fira Sans" w:eastAsia="Fira Sans" w:hAnsi="Fira Sans" w:cs="Fira Sans"/>
          <w:b/>
          <w:color w:val="943B91"/>
          <w:sz w:val="24"/>
          <w:szCs w:val="24"/>
          <w:u w:val="single"/>
        </w:rPr>
      </w:pPr>
      <w:r>
        <w:rPr>
          <w:rFonts w:ascii="Fira Sans ExtraBold" w:hAnsi="Fira Sans ExtraBold"/>
          <w:color w:val="943B91"/>
          <w:sz w:val="28"/>
        </w:rPr>
        <w:t xml:space="preserve">a </w:t>
      </w:r>
      <w:r w:rsidR="00376ABA">
        <w:rPr>
          <w:rFonts w:ascii="Fira Sans ExtraBold" w:hAnsi="Fira Sans ExtraBold"/>
          <w:color w:val="943B91"/>
          <w:sz w:val="28"/>
        </w:rPr>
        <w:t xml:space="preserve">adotar </w:t>
      </w:r>
      <w:r>
        <w:rPr>
          <w:rFonts w:ascii="Fira Sans ExtraBold" w:hAnsi="Fira Sans ExtraBold"/>
          <w:color w:val="943B91"/>
          <w:sz w:val="28"/>
        </w:rPr>
        <w:t>para cuidarmos das nossas microbiotas</w:t>
      </w:r>
    </w:p>
    <w:p w14:paraId="454C6262" w14:textId="77777777" w:rsidR="0030077A" w:rsidRDefault="003007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Fira Sans" w:eastAsia="Fira Sans" w:hAnsi="Fira Sans" w:cs="Fira Sans"/>
          <w:color w:val="200F40"/>
        </w:rPr>
      </w:pPr>
    </w:p>
    <w:p w14:paraId="1E6729E3" w14:textId="77777777" w:rsidR="0030077A" w:rsidRDefault="00AE28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ira Sans" w:eastAsia="Fira Sans" w:hAnsi="Fira Sans" w:cs="Fira Sans"/>
        </w:rPr>
      </w:pPr>
      <w:r>
        <w:rPr>
          <w:rFonts w:ascii="Fira Sans" w:hAnsi="Fira Sans"/>
          <w:color w:val="200F40"/>
        </w:rPr>
        <w:t xml:space="preserve">Sabem que uma alimentação equilibrada (84%), a atividade física (76%) e evitar o tabaco (72%) são essenciais para uma boa saúde e que estes comportamentos têm impacto positivo nas microbiotas. </w:t>
      </w:r>
    </w:p>
    <w:p w14:paraId="76BEAC99" w14:textId="13ED58EE" w:rsidR="0030077A" w:rsidRDefault="00AE28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Fira Sans" w:hAnsi="Fira Sans"/>
          <w:b/>
          <w:color w:val="200F40"/>
        </w:rPr>
        <w:t>Em contrapartida, quando se trata de comportamentos mais específicos, o nível de conhecimento colapsa:</w:t>
      </w:r>
      <w:r>
        <w:rPr>
          <w:rFonts w:ascii="Fira Sans" w:hAnsi="Fira Sans"/>
          <w:color w:val="200F40"/>
        </w:rPr>
        <w:t xml:space="preserve"> apenas 1 em cada 3 pessoas sabe que é melhor não se lavar duas vezes ao dia para preservar a microbiota da pele (35%). Menos de 1 em cada 2 mulheres sabe que a lavagem vaginal deve ser evitada porque é prejudicial para a sua microbiota vaginal (42%). </w:t>
      </w:r>
    </w:p>
    <w:p w14:paraId="0BF06032" w14:textId="77777777" w:rsidR="0030077A" w:rsidRDefault="00AE28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ira Sans" w:eastAsia="Fira Sans" w:hAnsi="Fira Sans" w:cs="Fira Sans"/>
        </w:rPr>
      </w:pPr>
      <w:r>
        <w:rPr>
          <w:rFonts w:ascii="Fira Sans" w:hAnsi="Fira Sans"/>
          <w:color w:val="200F40"/>
        </w:rPr>
        <w:t xml:space="preserve">Atualmente, mais de 1 em cada 2 pessoas afirma ter adotado comportamentos na sua vida quotidiana destinados a manter a sua microbiota em equilíbrio (57%). </w:t>
      </w:r>
    </w:p>
    <w:p w14:paraId="1FA72653" w14:textId="77777777" w:rsidR="0030077A" w:rsidRDefault="00AE28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bookmarkStart w:id="0" w:name="_heading=h.30j0zll"/>
      <w:bookmarkEnd w:id="0"/>
      <w:r>
        <w:rPr>
          <w:rFonts w:ascii="Fira Sans" w:hAnsi="Fira Sans"/>
          <w:b/>
          <w:color w:val="200F40"/>
        </w:rPr>
        <w:t xml:space="preserve">Esta tomada de consciência é de saudar, embora deva também ser relativizada. </w:t>
      </w:r>
      <w:r>
        <w:rPr>
          <w:rFonts w:ascii="Fira Sans" w:hAnsi="Fira Sans"/>
          <w:color w:val="200F40"/>
        </w:rPr>
        <w:t xml:space="preserve">Em primeiro lugar, porque apenas 1 em cada 7 pessoas diz que o faz "muito" (15%), enquanto a maioria das outras diz que o faz apenas "um pouco" (42%). Em segundo lugar, porque 43% dos inquiridos afirmam não ter adotado qualquer </w:t>
      </w:r>
      <w:r>
        <w:rPr>
          <w:rFonts w:ascii="Fira Sans" w:hAnsi="Fira Sans"/>
          <w:color w:val="200F40"/>
        </w:rPr>
        <w:lastRenderedPageBreak/>
        <w:t xml:space="preserve">comportamento específico. Os resultados do Observatório Internacional das Microbiotas mostram que ainda há muito a ser feito nesta área. </w:t>
      </w:r>
    </w:p>
    <w:p w14:paraId="494DA476" w14:textId="77777777" w:rsidR="0030077A" w:rsidRDefault="0030077A">
      <w:pPr>
        <w:rPr>
          <w:rFonts w:ascii="Fira Sans" w:eastAsia="Fira Sans" w:hAnsi="Fira Sans" w:cs="Fira Sans"/>
          <w:b/>
          <w:color w:val="200F40"/>
        </w:rPr>
      </w:pPr>
    </w:p>
    <w:p w14:paraId="42AB2BC4" w14:textId="77777777" w:rsidR="0030077A" w:rsidRDefault="00AE2834">
      <w:pPr>
        <w:rPr>
          <w:rFonts w:ascii="Fira Sans ExtraBold" w:eastAsia="Fira Sans ExtraBold" w:hAnsi="Fira Sans ExtraBold" w:cs="Fira Sans ExtraBold"/>
          <w:color w:val="943B91"/>
          <w:sz w:val="28"/>
          <w:szCs w:val="28"/>
        </w:rPr>
      </w:pPr>
      <w:r>
        <w:rPr>
          <w:rFonts w:ascii="Fira Sans ExtraBold" w:hAnsi="Fira Sans ExtraBold"/>
          <w:color w:val="943B91"/>
          <w:sz w:val="28"/>
        </w:rPr>
        <w:t>A microbiota explicada pelos profissionais de saúde: chave</w:t>
      </w:r>
    </w:p>
    <w:p w14:paraId="0BB3DC04" w14:textId="6E277CAB" w:rsidR="0030077A" w:rsidRDefault="00AE2834" w:rsidP="009608C7">
      <w:pPr>
        <w:rPr>
          <w:rFonts w:ascii="Fira Sans" w:eastAsia="Fira Sans" w:hAnsi="Fira Sans" w:cs="Fira Sans"/>
          <w:b/>
          <w:color w:val="200F40"/>
        </w:rPr>
      </w:pPr>
      <w:r>
        <w:rPr>
          <w:rFonts w:ascii="Fira Sans ExtraBold" w:hAnsi="Fira Sans ExtraBold"/>
          <w:color w:val="943B91"/>
          <w:sz w:val="28"/>
        </w:rPr>
        <w:t>do sucesso para a adoção de comportamentos</w:t>
      </w:r>
      <w:r w:rsidR="00376ABA">
        <w:rPr>
          <w:rFonts w:ascii="Fira Sans ExtraBold" w:hAnsi="Fira Sans ExtraBold"/>
          <w:color w:val="943B91"/>
          <w:sz w:val="28"/>
        </w:rPr>
        <w:t xml:space="preserve"> correctos</w:t>
      </w:r>
      <w:r>
        <w:rPr>
          <w:rFonts w:ascii="Fira Sans ExtraBold" w:hAnsi="Fira Sans ExtraBold"/>
          <w:color w:val="943B91"/>
          <w:sz w:val="28"/>
        </w:rPr>
        <w:t xml:space="preserve">! </w:t>
      </w:r>
      <w:r>
        <w:rPr>
          <w:rFonts w:ascii="Fira Sans" w:hAnsi="Fira Sans"/>
          <w:b/>
          <w:color w:val="200F40"/>
          <w:sz w:val="24"/>
          <w:u w:val="single"/>
        </w:rPr>
        <w:t xml:space="preserve"> </w:t>
      </w:r>
    </w:p>
    <w:p w14:paraId="0E0C2BE5" w14:textId="77777777" w:rsidR="0030077A" w:rsidRDefault="00AE28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Fira Sans" w:hAnsi="Fira Sans"/>
          <w:b/>
          <w:color w:val="200F40"/>
        </w:rPr>
        <w:t xml:space="preserve">Apenas 1 em cada 3 pessoas afirma que o seu médico lhes ensinou o que é a microbiota e para que serve (37%). </w:t>
      </w:r>
      <w:r>
        <w:rPr>
          <w:rFonts w:ascii="Fira Sans" w:hAnsi="Fira Sans"/>
          <w:color w:val="200F40"/>
        </w:rPr>
        <w:t xml:space="preserve">Menos de 1 em cada 2 inquiridos afirma que o seu médico lhe explicou alguma vez como manter uma microbiota equilibrada (44%, mas apenas 19% receberam essa explicação mais do que uma vez). </w:t>
      </w:r>
    </w:p>
    <w:p w14:paraId="03FCAAA4" w14:textId="7E8EF339" w:rsidR="0030077A" w:rsidRDefault="00AE28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ira Sans" w:eastAsia="Fira Sans" w:hAnsi="Fira Sans" w:cs="Fira Sans"/>
        </w:rPr>
      </w:pPr>
      <w:r>
        <w:rPr>
          <w:rFonts w:ascii="Fira Sans" w:hAnsi="Fira Sans"/>
          <w:color w:val="200F40"/>
        </w:rPr>
        <w:t xml:space="preserve">As informações fornecidas pelos médicos ao prescrever antibióticos ilustram o quão insuficientes elas ainda são. Menos de 1 em cada 2 doentes afirma que o seu médico os informou dos riscos de problemas digestivos associados à toma de antibióticos (41%). Apenas 1 em cada 3 pacientes afirma ter recebido aconselhamento do seu profissional de saúde sobre a forma de minimizar o impacto negativo da toma de antibióticos na sua microbiota (34%), ou ter sido informado de que a toma de antibióticos poderia ter um impacto negativo no equilíbrio da sua microbiota (33%). </w:t>
      </w:r>
    </w:p>
    <w:p w14:paraId="0F2AFCC5" w14:textId="77777777" w:rsidR="0030077A" w:rsidRDefault="00AE28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Fira Sans" w:hAnsi="Fira Sans"/>
          <w:b/>
          <w:color w:val="200F40"/>
        </w:rPr>
        <w:t>Em contrapartida, logo que o paciente tenha recebido todas as informações sobre o assunto, e repetidamente, a sua relação com a microbiota muda consideravelmente.</w:t>
      </w:r>
      <w:r>
        <w:rPr>
          <w:rFonts w:ascii="Fira Sans" w:hAnsi="Fira Sans"/>
          <w:b/>
          <w:color w:val="200F40"/>
          <w:sz w:val="24"/>
        </w:rPr>
        <w:t xml:space="preserve"> </w:t>
      </w:r>
      <w:r>
        <w:rPr>
          <w:rFonts w:ascii="Fira Sans" w:hAnsi="Fira Sans"/>
          <w:color w:val="200F40"/>
        </w:rPr>
        <w:t xml:space="preserve">Mais de 9 em cada 10 pessoas (95%) que receberam essas informações do seu profissional de saúde adotaram posteriormente comportamentos para manter a microbiota equilibrada, em comparação com 57% das pessoas que não foram informadas. </w:t>
      </w:r>
    </w:p>
    <w:p w14:paraId="7F2FC4F7" w14:textId="77777777" w:rsidR="0030077A" w:rsidRDefault="0030077A">
      <w:pPr>
        <w:jc w:val="both"/>
        <w:rPr>
          <w:rFonts w:ascii="Fira Sans" w:eastAsia="Fira Sans" w:hAnsi="Fira Sans" w:cs="Fira Sans"/>
          <w:color w:val="200F40"/>
        </w:rPr>
      </w:pPr>
    </w:p>
    <w:p w14:paraId="42BDF7B2" w14:textId="20704695" w:rsidR="0030077A" w:rsidRDefault="00A81B61">
      <w:pPr>
        <w:jc w:val="both"/>
        <w:rPr>
          <w:rFonts w:ascii="Fira Sans" w:eastAsia="Fira Sans" w:hAnsi="Fira Sans" w:cs="Fira Sans"/>
          <w:b/>
          <w:color w:val="943B91"/>
          <w:sz w:val="24"/>
          <w:szCs w:val="24"/>
          <w:u w:val="single"/>
        </w:rPr>
      </w:pPr>
      <w:r>
        <w:rPr>
          <w:rFonts w:ascii="Fira Sans ExtraBold" w:hAnsi="Fira Sans ExtraBold"/>
          <w:color w:val="943B91"/>
          <w:sz w:val="28"/>
        </w:rPr>
        <w:t>Idosos pouco</w:t>
      </w:r>
      <w:r w:rsidR="00AE2834">
        <w:rPr>
          <w:rFonts w:ascii="Fira Sans ExtraBold" w:hAnsi="Fira Sans ExtraBold"/>
          <w:color w:val="943B91"/>
          <w:sz w:val="28"/>
        </w:rPr>
        <w:t xml:space="preserve"> informados, quando são dos mais frágeis!</w:t>
      </w:r>
    </w:p>
    <w:p w14:paraId="45212C33" w14:textId="2FB7EF8A" w:rsidR="0030077A" w:rsidRDefault="00AE28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ira Sans" w:eastAsia="Fira Sans" w:hAnsi="Fira Sans" w:cs="Fira Sans"/>
        </w:rPr>
      </w:pPr>
      <w:r>
        <w:rPr>
          <w:rFonts w:ascii="Fira Sans" w:hAnsi="Fira Sans"/>
          <w:b/>
          <w:color w:val="200F40"/>
        </w:rPr>
        <w:t>Apesar de se encontrarem numa idade em que muitos deles vão enfrentar crescentes problemas de saúde relacionados com o envelhecimento, os idosos (pessoas com 60 anos ou mais) são os que menos sabem sobre a microbiota intestinal (20%, menos 4 pontos do que o valor global).</w:t>
      </w:r>
    </w:p>
    <w:p w14:paraId="24A9817D" w14:textId="77777777" w:rsidR="0030077A" w:rsidRDefault="00AE28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ira Sans" w:eastAsia="Fira Sans" w:hAnsi="Fira Sans" w:cs="Fira Sans"/>
        </w:rPr>
      </w:pPr>
      <w:r>
        <w:rPr>
          <w:rFonts w:ascii="Fira Sans" w:hAnsi="Fira Sans"/>
          <w:color w:val="200F40"/>
        </w:rPr>
        <w:t xml:space="preserve">São também quem menos probabilidades de adotar comportamentos para manter a sua microbiota equilibrada (apenas 50% em comparação com 57% a nível geral). </w:t>
      </w:r>
    </w:p>
    <w:p w14:paraId="15D94D8A" w14:textId="77777777" w:rsidR="0030077A" w:rsidRDefault="00AE28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ira Sans" w:eastAsia="Fira Sans" w:hAnsi="Fira Sans" w:cs="Fira Sans"/>
        </w:rPr>
      </w:pPr>
      <w:r>
        <w:rPr>
          <w:rFonts w:ascii="Fira Sans" w:hAnsi="Fira Sans"/>
          <w:color w:val="200F40"/>
        </w:rPr>
        <w:t xml:space="preserve">Também neste caso, os médicos têm um papel essencial a desempenhar para encorajar os idosos a mudarem os seus comportamentos. Mas são coisas sobre as quais eles falam pouco. Apenas 1 em cada 3 idosos já esteve perante um médico que lhe explicasse o que deve fazer para manter o equilíbrio da sua microbiota (32%, em comparação com 58% para os jovens entre os 25 e os 34 anos). 1 em cada 4 afirma já ter recebido explicações sobre o que é a microbiota (26% em comparação com 50% das pessoas com idades compreendidas entre os 25 e os 34 anos). Há uma urgente necessidade de se alterar esta situação. </w:t>
      </w:r>
    </w:p>
    <w:p w14:paraId="67AC9DBC" w14:textId="77777777" w:rsidR="009608C7" w:rsidRPr="009608C7" w:rsidRDefault="009608C7" w:rsidP="009608C7">
      <w:pPr>
        <w:jc w:val="both"/>
        <w:rPr>
          <w:rFonts w:ascii="Fira Sans" w:eastAsiaTheme="minorEastAsia" w:hAnsi="Fira Sans" w:cstheme="minorHAnsi"/>
          <w:b/>
          <w:bCs/>
          <w:color w:val="7030A0"/>
          <w:sz w:val="28"/>
          <w:szCs w:val="28"/>
        </w:rPr>
      </w:pPr>
      <w:r w:rsidRPr="009608C7">
        <w:rPr>
          <w:rFonts w:ascii="Fira Sans" w:hAnsi="Fira Sans"/>
          <w:b/>
          <w:color w:val="7030A0"/>
          <w:sz w:val="28"/>
          <w:szCs w:val="28"/>
        </w:rPr>
        <w:lastRenderedPageBreak/>
        <w:t xml:space="preserve">Os espanhóis têm um conhecimento muito limitado sobre as microbiotas e sobre os comportamentos que devem adotar para as preservar o melhor possível: relacionam muito raramente os seus problemas de saúde com as suas microbiotas. </w:t>
      </w:r>
    </w:p>
    <w:p w14:paraId="642C11AE" w14:textId="77777777" w:rsidR="009608C7" w:rsidRPr="009608C7" w:rsidRDefault="009608C7" w:rsidP="009608C7">
      <w:pPr>
        <w:pStyle w:val="NormalWeb"/>
        <w:spacing w:before="0" w:beforeAutospacing="0" w:after="0" w:afterAutospacing="0"/>
        <w:jc w:val="both"/>
        <w:rPr>
          <w:rFonts w:ascii="Fira Sans" w:eastAsiaTheme="minorEastAsia" w:hAnsi="Fira Sans" w:cstheme="minorHAnsi"/>
          <w:szCs w:val="22"/>
        </w:rPr>
      </w:pPr>
    </w:p>
    <w:p w14:paraId="09AF3EFE" w14:textId="77777777" w:rsidR="009608C7" w:rsidRPr="009608C7" w:rsidRDefault="009608C7" w:rsidP="009608C7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Fira Sans" w:eastAsiaTheme="minorEastAsia" w:hAnsi="Fira Sans" w:cstheme="minorHAnsi"/>
          <w:sz w:val="22"/>
          <w:szCs w:val="22"/>
        </w:rPr>
      </w:pPr>
      <w:r w:rsidRPr="009608C7">
        <w:rPr>
          <w:rFonts w:ascii="Fira Sans" w:hAnsi="Fira Sans"/>
          <w:b/>
          <w:bCs/>
          <w:sz w:val="22"/>
        </w:rPr>
        <w:t>Os espanhóis estão também entre os países que menos sabem sobre a microbiota, tal como os franceses, os americanos e, em menor grau, os portugueses.</w:t>
      </w:r>
      <w:r w:rsidRPr="009608C7">
        <w:rPr>
          <w:rFonts w:ascii="Fira Sans" w:hAnsi="Fira Sans"/>
          <w:sz w:val="22"/>
        </w:rPr>
        <w:t xml:space="preserve"> Assim, apenas uma minoria de espanhóis sabe exatamente o que significam os termos “disbiose” (apenas 6% contra 10% globalmente), “probiótico” (38% face 43% a nível geral).</w:t>
      </w:r>
    </w:p>
    <w:p w14:paraId="231056A4" w14:textId="77777777" w:rsidR="009608C7" w:rsidRPr="009608C7" w:rsidRDefault="009608C7" w:rsidP="009608C7">
      <w:pPr>
        <w:pStyle w:val="NormalWeb"/>
        <w:spacing w:before="0" w:beforeAutospacing="0" w:after="0" w:afterAutospacing="0"/>
        <w:jc w:val="both"/>
        <w:rPr>
          <w:rFonts w:ascii="Fira Sans" w:eastAsiaTheme="minorEastAsia" w:hAnsi="Fira Sans" w:cstheme="minorHAnsi"/>
          <w:szCs w:val="22"/>
        </w:rPr>
      </w:pPr>
    </w:p>
    <w:p w14:paraId="44D8862E" w14:textId="77777777" w:rsidR="009608C7" w:rsidRPr="009608C7" w:rsidRDefault="009608C7" w:rsidP="009608C7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Fira Sans" w:eastAsiaTheme="minorEastAsia" w:hAnsi="Fira Sans" w:cstheme="minorHAnsi"/>
          <w:sz w:val="22"/>
          <w:szCs w:val="22"/>
        </w:rPr>
      </w:pPr>
      <w:r w:rsidRPr="009608C7">
        <w:rPr>
          <w:rFonts w:ascii="Fira Sans" w:hAnsi="Fira Sans"/>
          <w:b/>
          <w:bCs/>
          <w:sz w:val="22"/>
        </w:rPr>
        <w:t>Os seus conhecimentos sobre os diferentes comportamentos a adotar para preservar o equilíbrio da sua microbiota são medíocres</w:t>
      </w:r>
      <w:r w:rsidRPr="009608C7">
        <w:rPr>
          <w:rFonts w:ascii="Fira Sans" w:hAnsi="Fira Sans"/>
          <w:sz w:val="22"/>
        </w:rPr>
        <w:t xml:space="preserve">, mas mesmo assim superiores à média dos outros países (4,2/7 contra 4/7 no total). No entanto, não os aplicam de facto, e são dos que dizem ter adotado menos comportamentos para manter a sua microbiota o mais equilibrada possível (54% contra 57% a nível global). </w:t>
      </w:r>
    </w:p>
    <w:p w14:paraId="41A059D1" w14:textId="77777777" w:rsidR="009608C7" w:rsidRPr="009608C7" w:rsidRDefault="009608C7" w:rsidP="009608C7">
      <w:pPr>
        <w:pStyle w:val="Prrafodelista"/>
        <w:rPr>
          <w:rFonts w:ascii="Fira Sans" w:eastAsiaTheme="minorEastAsia" w:hAnsi="Fira Sans" w:cstheme="minorHAnsi"/>
        </w:rPr>
      </w:pPr>
    </w:p>
    <w:p w14:paraId="3FA28F3A" w14:textId="77777777" w:rsidR="009608C7" w:rsidRPr="009608C7" w:rsidRDefault="009608C7" w:rsidP="009608C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Fira Sans" w:eastAsiaTheme="minorEastAsia" w:hAnsi="Fira Sans" w:cstheme="minorHAnsi"/>
          <w:sz w:val="22"/>
          <w:szCs w:val="22"/>
        </w:rPr>
      </w:pPr>
      <w:r w:rsidRPr="009608C7">
        <w:rPr>
          <w:rFonts w:ascii="Fira Sans" w:hAnsi="Fira Sans"/>
          <w:b/>
          <w:sz w:val="22"/>
        </w:rPr>
        <w:t>Os espanhóis raramente estabelecem a relação entre determinados problemas de saúde e a sua microbiota.</w:t>
      </w:r>
      <w:r w:rsidRPr="009608C7">
        <w:rPr>
          <w:rFonts w:ascii="Fira Sans" w:hAnsi="Fira Sans"/>
          <w:sz w:val="22"/>
        </w:rPr>
        <w:t xml:space="preserve"> De entre os 8 problemas clínicos testados, há apenas um para o qual a maioria dos espanhóis que dele sofrem estabelecem a existência de ligação com a microbiota. Trata-se do caso da diarreia </w:t>
      </w:r>
      <w:r w:rsidRPr="009608C7">
        <w:rPr>
          <w:rFonts w:ascii="Fira Sans" w:hAnsi="Fira Sans"/>
        </w:rPr>
        <w:fldChar w:fldCharType="begin"/>
      </w:r>
      <w:r w:rsidRPr="009608C7">
        <w:rPr>
          <w:rFonts w:ascii="Fira Sans" w:hAnsi="Fira Sans"/>
        </w:rPr>
        <w:instrText>HYPERLINK "https://www.biocodexmicrobiotainstitute.com/fr/diarrhee-associee-aux-antibiotiques" \o "Diarreia associada aos antibióticos"</w:instrText>
      </w:r>
      <w:r w:rsidRPr="009608C7">
        <w:rPr>
          <w:rFonts w:ascii="Fira Sans" w:hAnsi="Fira Sans"/>
        </w:rPr>
      </w:r>
      <w:r w:rsidRPr="009608C7">
        <w:rPr>
          <w:rFonts w:ascii="Fira Sans" w:hAnsi="Fira Sans"/>
        </w:rPr>
        <w:fldChar w:fldCharType="separate"/>
      </w:r>
      <w:r w:rsidRPr="009608C7">
        <w:rPr>
          <w:rFonts w:ascii="Fira Sans" w:hAnsi="Fira Sans"/>
        </w:rPr>
        <w:t>pós-antibióticos</w:t>
      </w:r>
      <w:r w:rsidRPr="009608C7">
        <w:rPr>
          <w:rFonts w:ascii="Fira Sans" w:hAnsi="Fira Sans"/>
        </w:rPr>
        <w:fldChar w:fldCharType="end"/>
      </w:r>
      <w:r w:rsidRPr="009608C7">
        <w:rPr>
          <w:rFonts w:ascii="Fira Sans" w:hAnsi="Fira Sans"/>
          <w:sz w:val="22"/>
        </w:rPr>
        <w:t xml:space="preserve"> (53%). Para todos os outros problemas de saúde, a maioria dos espanhóis nunca faz a ligação com a sua microbiota. É este o caso das infeções urogenitais (40%), dos episódios de problemas intestinais (46%), das perturbações do aparelho digestivo (44%) e das gastroenterites (apenas 34% das pessoas fazem essa ligação). </w:t>
      </w:r>
    </w:p>
    <w:p w14:paraId="5A5D77EA" w14:textId="77777777" w:rsidR="009608C7" w:rsidRPr="009608C7" w:rsidRDefault="009608C7" w:rsidP="009608C7">
      <w:pPr>
        <w:pStyle w:val="NormalWeb"/>
        <w:spacing w:before="0" w:beforeAutospacing="0" w:after="0" w:afterAutospacing="0"/>
        <w:ind w:left="720"/>
        <w:jc w:val="both"/>
        <w:rPr>
          <w:rFonts w:ascii="Fira Sans" w:eastAsiaTheme="minorEastAsia" w:hAnsi="Fira Sans" w:cstheme="minorHAnsi"/>
          <w:sz w:val="22"/>
          <w:szCs w:val="22"/>
        </w:rPr>
      </w:pPr>
    </w:p>
    <w:p w14:paraId="4ECE2FA9" w14:textId="77777777" w:rsidR="009608C7" w:rsidRPr="009608C7" w:rsidRDefault="009608C7" w:rsidP="009608C7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Fira Sans" w:eastAsiaTheme="minorEastAsia" w:hAnsi="Fira Sans" w:cstheme="minorHAnsi"/>
          <w:sz w:val="22"/>
          <w:szCs w:val="22"/>
        </w:rPr>
      </w:pPr>
      <w:r w:rsidRPr="009608C7">
        <w:rPr>
          <w:rFonts w:ascii="Fira Sans" w:hAnsi="Fira Sans"/>
          <w:b/>
          <w:bCs/>
          <w:sz w:val="22"/>
        </w:rPr>
        <w:t>Sobretudo, os espanhóis raramente falam neste assunto com os profissionais de saúde</w:t>
      </w:r>
      <w:r w:rsidRPr="009608C7">
        <w:rPr>
          <w:rFonts w:ascii="Fira Sans" w:hAnsi="Fira Sans"/>
          <w:sz w:val="22"/>
        </w:rPr>
        <w:t xml:space="preserve"> e declaram ter muito menos probabilidades do que a média de lhes serem receitados probióticos e prebióticos pelo seu médico (36% em comparação com 46% no total), de lhes serem explicados os comportamentos corretos para manterem, na medida do possível, um bom equilíbrio da sua microbiota (33% face a 44% a nível global) ou de serem sensibilizados para a importância de preservarem, na medida do possível, o equilíbrio da sua microbiota (31% contra 42% no cômputo geral). </w:t>
      </w:r>
    </w:p>
    <w:p w14:paraId="57075690" w14:textId="77777777" w:rsidR="009608C7" w:rsidRPr="009608C7" w:rsidRDefault="009608C7" w:rsidP="009608C7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Fira Sans" w:eastAsiaTheme="minorEastAsia" w:hAnsi="Fira Sans" w:cstheme="minorHAnsi"/>
          <w:sz w:val="22"/>
          <w:szCs w:val="22"/>
        </w:rPr>
      </w:pPr>
    </w:p>
    <w:p w14:paraId="4F90A8EE" w14:textId="77777777" w:rsidR="009608C7" w:rsidRPr="009608C7" w:rsidRDefault="009608C7" w:rsidP="009608C7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Fira Sans" w:eastAsiaTheme="minorEastAsia" w:hAnsi="Fira Sans" w:cstheme="minorHAnsi"/>
          <w:b/>
          <w:bCs/>
          <w:sz w:val="22"/>
          <w:szCs w:val="22"/>
        </w:rPr>
      </w:pPr>
      <w:r w:rsidRPr="009608C7">
        <w:rPr>
          <w:rFonts w:ascii="Fira Sans" w:hAnsi="Fira Sans"/>
          <w:b/>
          <w:sz w:val="22"/>
        </w:rPr>
        <w:t xml:space="preserve">Em Espanha, a educação dos doentes é agora uma questão fundamental, para lhes ensinar não só o papel da microbiota, mas também os comportamentos que devem adotar para a preservar o melhor possível. Isso compete aos profissionais de saúde. </w:t>
      </w:r>
    </w:p>
    <w:p w14:paraId="6F473632" w14:textId="77777777" w:rsidR="0030077A" w:rsidRDefault="0030077A">
      <w:pPr>
        <w:spacing w:line="240" w:lineRule="auto"/>
        <w:jc w:val="both"/>
        <w:rPr>
          <w:rFonts w:ascii="Fira Sans" w:eastAsia="Fira Sans" w:hAnsi="Fira Sans" w:cs="Fira Sans"/>
          <w:color w:val="200F40"/>
        </w:rPr>
      </w:pPr>
    </w:p>
    <w:p w14:paraId="19F71F5E" w14:textId="0495F64C" w:rsidR="0030077A" w:rsidRDefault="00AE2834" w:rsidP="009608C7">
      <w:pPr>
        <w:keepNext/>
        <w:ind w:left="720"/>
        <w:rPr>
          <w:rFonts w:ascii="Fira Sans" w:eastAsia="Fira Sans" w:hAnsi="Fira Sans" w:cs="Fira Sans"/>
          <w:color w:val="200F40"/>
        </w:rPr>
      </w:pPr>
      <w:r>
        <w:rPr>
          <w:rFonts w:ascii="Fira Sans" w:hAnsi="Fira Sans"/>
          <w:b/>
          <w:color w:val="943B91"/>
        </w:rPr>
        <w:lastRenderedPageBreak/>
        <w:t>Murielle Escalmel, Diretora do Biocodex Microbiota Institute</w:t>
      </w:r>
      <w:r w:rsidR="00270C14">
        <w:rPr>
          <w:rFonts w:ascii="Fira Sans" w:hAnsi="Fira Sans"/>
          <w:b/>
          <w:color w:val="943B91"/>
        </w:rPr>
        <w:t>,</w:t>
      </w:r>
      <w:r w:rsidR="00376ABA">
        <w:rPr>
          <w:rFonts w:ascii="Fira Sans" w:hAnsi="Fira Sans"/>
          <w:b/>
          <w:color w:val="943B91"/>
        </w:rPr>
        <w:t xml:space="preserve"> declara</w:t>
      </w:r>
      <w:r>
        <w:rPr>
          <w:rFonts w:ascii="Fira Sans" w:hAnsi="Fira Sans"/>
          <w:b/>
          <w:color w:val="943B91"/>
        </w:rPr>
        <w:t>:</w:t>
      </w:r>
      <w:r>
        <w:rPr>
          <w:rFonts w:ascii="Fira Sans" w:hAnsi="Fira Sans"/>
          <w:color w:val="200F40"/>
        </w:rPr>
        <w:t xml:space="preserve"> </w:t>
      </w:r>
    </w:p>
    <w:p w14:paraId="21D72B71" w14:textId="4417DACD" w:rsidR="0030077A" w:rsidRPr="00AE2834" w:rsidRDefault="00AE2834" w:rsidP="00AE2834">
      <w:pPr>
        <w:ind w:left="720"/>
        <w:rPr>
          <w:rFonts w:ascii="Fira Sans" w:eastAsia="Fira Sans" w:hAnsi="Fira Sans" w:cs="Fira Sans"/>
          <w:i/>
          <w:color w:val="200F40"/>
        </w:rPr>
      </w:pPr>
      <w:r>
        <w:rPr>
          <w:rFonts w:ascii="Fira Sans" w:hAnsi="Fira Sans"/>
          <w:color w:val="943B91"/>
          <w:sz w:val="26"/>
        </w:rPr>
        <w:t>“</w:t>
      </w:r>
      <w:r>
        <w:rPr>
          <w:rFonts w:ascii="Fira Sans" w:hAnsi="Fira Sans"/>
          <w:i/>
        </w:rPr>
        <w:t>Este observatório, o primeiro do seu género, fornece-nos um manancial de informações sobre os conhecimentos, os comportamentos e as expectativas das populações mundiais em relação às microbiotas humanas.</w:t>
      </w:r>
      <w:r>
        <w:rPr>
          <w:rFonts w:ascii="Fira Sans" w:hAnsi="Fira Sans"/>
          <w:i/>
          <w:color w:val="200F40"/>
        </w:rPr>
        <w:t xml:space="preserve"> Convém mencionar também o papel fundamental desempenhado pelos profissionais de saúde na sensibilização para os comportamentos corretos para se cuidar da microbiota. O que o inquérito demonstra é que, a partir do momento em que os pacientes recebem informações do seu profissional de saúde, a sua relação com a microbiota muda. Melhor ainda, são iniciados comportamentos mais sãos. Portanto, é necessário reforçar o apoio dos profissionais de saúde para que a microbiota faça parte integrante da prestação de cuidados aos pacientes</w:t>
      </w:r>
      <w:r w:rsidR="00A81B61">
        <w:rPr>
          <w:rFonts w:ascii="Fira Sans" w:hAnsi="Fira Sans"/>
          <w:i/>
          <w:color w:val="200F40"/>
        </w:rPr>
        <w:t>.”</w:t>
      </w:r>
      <w:r>
        <w:rPr>
          <w:rFonts w:ascii="Fira Sans" w:hAnsi="Fira Sans"/>
          <w:i/>
          <w:color w:val="200F40"/>
          <w:sz w:val="28"/>
        </w:rPr>
        <w:t xml:space="preserve">  </w:t>
      </w:r>
    </w:p>
    <w:p w14:paraId="56AA4067" w14:textId="77777777" w:rsidR="0030077A" w:rsidRDefault="0030077A">
      <w:pPr>
        <w:rPr>
          <w:rFonts w:ascii="Fira Sans" w:eastAsia="Fira Sans" w:hAnsi="Fira Sans" w:cs="Fira Sans"/>
          <w:color w:val="200F40"/>
        </w:rPr>
      </w:pPr>
    </w:p>
    <w:p w14:paraId="44C379A7" w14:textId="5A81BB03" w:rsidR="0030077A" w:rsidRDefault="00AE2834">
      <w:pPr>
        <w:spacing w:line="240" w:lineRule="auto"/>
        <w:jc w:val="center"/>
        <w:rPr>
          <w:rFonts w:ascii="Fira Sans" w:eastAsia="Fira Sans" w:hAnsi="Fira Sans" w:cs="Fira Sans"/>
          <w:b/>
          <w:color w:val="200F40"/>
          <w:sz w:val="24"/>
          <w:szCs w:val="24"/>
        </w:rPr>
      </w:pPr>
      <w:r>
        <w:rPr>
          <w:rFonts w:ascii="Fira Sans" w:hAnsi="Fira Sans"/>
          <w:b/>
          <w:color w:val="200F40"/>
          <w:sz w:val="24"/>
        </w:rPr>
        <w:t>Descubra os resultados do Observatório Internacional das Microbiotas em:</w:t>
      </w:r>
    </w:p>
    <w:p w14:paraId="1A1EE6E5" w14:textId="77777777" w:rsidR="0030077A" w:rsidRDefault="0030077A">
      <w:pPr>
        <w:spacing w:line="240" w:lineRule="auto"/>
        <w:jc w:val="center"/>
        <w:rPr>
          <w:rFonts w:ascii="Fira Sans" w:eastAsia="Fira Sans" w:hAnsi="Fira Sans" w:cs="Fira Sans"/>
          <w:b/>
          <w:color w:val="200F40"/>
        </w:rPr>
      </w:pPr>
    </w:p>
    <w:p w14:paraId="2E8C8FE5" w14:textId="5D31F345" w:rsidR="0030077A" w:rsidRPr="00A81B61" w:rsidRDefault="00AE2834">
      <w:pPr>
        <w:jc w:val="center"/>
        <w:rPr>
          <w:rFonts w:ascii="Fira Sans" w:eastAsia="Fira Sans" w:hAnsi="Fira Sans" w:cs="Fira Sans"/>
          <w:color w:val="FF0000"/>
          <w:sz w:val="20"/>
          <w:szCs w:val="20"/>
          <w:u w:val="single"/>
          <w:lang w:val="fr-FR"/>
        </w:rPr>
      </w:pPr>
      <w:r w:rsidRPr="00A81B61">
        <w:rPr>
          <w:rFonts w:ascii="Fira Sans" w:hAnsi="Fira Sans"/>
          <w:color w:val="943B91"/>
          <w:lang w:val="fr-FR"/>
        </w:rPr>
        <w:t xml:space="preserve">→ </w:t>
      </w:r>
      <w:hyperlink r:id="rId8" w:history="1">
        <w:r w:rsidRPr="00A81B61">
          <w:rPr>
            <w:rFonts w:ascii="Fira Sans" w:hAnsi="Fira Sans"/>
            <w:color w:val="943B91"/>
            <w:sz w:val="20"/>
            <w:u w:val="single"/>
            <w:lang w:val="fr-FR"/>
          </w:rPr>
          <w:t>www.international-microbiota-observatory.com</w:t>
        </w:r>
      </w:hyperlink>
    </w:p>
    <w:p w14:paraId="026B9DFF" w14:textId="77777777" w:rsidR="00AE2834" w:rsidRPr="00A81B61" w:rsidRDefault="00AE2834">
      <w:pPr>
        <w:jc w:val="center"/>
        <w:rPr>
          <w:rFonts w:ascii="Fira Sans" w:eastAsia="Fira Sans" w:hAnsi="Fira Sans" w:cs="Fira Sans"/>
          <w:color w:val="FF0000"/>
          <w:lang w:val="fr-FR"/>
        </w:rPr>
      </w:pPr>
    </w:p>
    <w:p w14:paraId="61792094" w14:textId="79C9F244" w:rsidR="0030077A" w:rsidRPr="00A81B61" w:rsidRDefault="00270C14">
      <w:pPr>
        <w:rPr>
          <w:rFonts w:ascii="Fira Sans" w:eastAsia="Fira Sans" w:hAnsi="Fira Sans" w:cs="Fira Sans"/>
          <w:b/>
          <w:color w:val="943B91"/>
          <w:sz w:val="24"/>
          <w:szCs w:val="24"/>
          <w:lang w:val="fr-FR"/>
        </w:rPr>
      </w:pPr>
      <w:r>
        <w:rPr>
          <w:rFonts w:ascii="Fira Sans" w:hAnsi="Fira Sans"/>
          <w:b/>
          <w:color w:val="943B91"/>
          <w:sz w:val="24"/>
          <w:lang w:val="fr-FR"/>
        </w:rPr>
        <w:t xml:space="preserve">O </w:t>
      </w:r>
      <w:r w:rsidR="00AE2834" w:rsidRPr="00A81B61">
        <w:rPr>
          <w:rFonts w:ascii="Fira Sans" w:hAnsi="Fira Sans"/>
          <w:b/>
          <w:color w:val="943B91"/>
          <w:sz w:val="24"/>
          <w:lang w:val="fr-FR"/>
        </w:rPr>
        <w:t>Biocodex </w:t>
      </w:r>
      <w:proofErr w:type="spellStart"/>
      <w:r w:rsidR="00AE2834" w:rsidRPr="00A81B61">
        <w:rPr>
          <w:rFonts w:ascii="Fira Sans" w:hAnsi="Fira Sans"/>
          <w:b/>
          <w:color w:val="943B91"/>
          <w:sz w:val="24"/>
          <w:lang w:val="fr-FR"/>
        </w:rPr>
        <w:t>Microbiota</w:t>
      </w:r>
      <w:proofErr w:type="spellEnd"/>
      <w:r w:rsidR="00AE2834" w:rsidRPr="00A81B61">
        <w:rPr>
          <w:rFonts w:ascii="Fira Sans" w:hAnsi="Fira Sans"/>
          <w:b/>
          <w:color w:val="943B91"/>
          <w:sz w:val="24"/>
          <w:lang w:val="fr-FR"/>
        </w:rPr>
        <w:t> Institute</w:t>
      </w:r>
    </w:p>
    <w:p w14:paraId="6DBBB8B9" w14:textId="373E0E19" w:rsidR="0030077A" w:rsidRDefault="00270C14" w:rsidP="00270C14">
      <w:pPr>
        <w:shd w:val="clear" w:color="auto" w:fill="FFFFFF"/>
        <w:spacing w:line="240" w:lineRule="auto"/>
        <w:jc w:val="both"/>
        <w:rPr>
          <w:rFonts w:ascii="Fira Sans" w:hAnsi="Fira Sans"/>
          <w:color w:val="200F40"/>
        </w:rPr>
      </w:pPr>
      <w:r w:rsidRPr="00270C14">
        <w:rPr>
          <w:rFonts w:ascii="Fira Sans" w:hAnsi="Fira Sans"/>
          <w:color w:val="200F40"/>
        </w:rPr>
        <w:t xml:space="preserve">O Biocodex Microbiota Institute é um centro de conhecimento internacional cujo objetivo é promover uma melhor saúde através da comunicação sobre </w:t>
      </w:r>
      <w:r>
        <w:rPr>
          <w:rFonts w:ascii="Fira Sans" w:hAnsi="Fira Sans"/>
          <w:color w:val="200F40"/>
        </w:rPr>
        <w:t>a</w:t>
      </w:r>
      <w:r w:rsidRPr="00270C14">
        <w:rPr>
          <w:rFonts w:ascii="Fira Sans" w:hAnsi="Fira Sans"/>
          <w:color w:val="200F40"/>
        </w:rPr>
        <w:t xml:space="preserve"> microbiota human</w:t>
      </w:r>
      <w:r>
        <w:rPr>
          <w:rFonts w:ascii="Fira Sans" w:hAnsi="Fira Sans"/>
          <w:color w:val="200F40"/>
        </w:rPr>
        <w:t>a</w:t>
      </w:r>
      <w:r w:rsidRPr="00270C14">
        <w:rPr>
          <w:rFonts w:ascii="Fira Sans" w:hAnsi="Fira Sans"/>
          <w:color w:val="200F40"/>
        </w:rPr>
        <w:t>. Para o efeito, dirige-se aos profissionais de saúde e ao público em geral para sensibilizar para o papel central desempenhado por este órgão pouco conhecido.</w:t>
      </w:r>
    </w:p>
    <w:p w14:paraId="08356CA7" w14:textId="77777777" w:rsidR="00270C14" w:rsidRPr="00270C14" w:rsidRDefault="00270C14" w:rsidP="00270C14">
      <w:pPr>
        <w:shd w:val="clear" w:color="auto" w:fill="FFFFFF"/>
        <w:spacing w:line="240" w:lineRule="auto"/>
        <w:jc w:val="both"/>
        <w:rPr>
          <w:rFonts w:ascii="Fira Sans" w:eastAsia="Fira Sans" w:hAnsi="Fira Sans" w:cs="Fira Sans"/>
          <w:color w:val="200F40"/>
        </w:rPr>
      </w:pPr>
    </w:p>
    <w:p w14:paraId="6FF573EB" w14:textId="0AB044E3" w:rsidR="0030077A" w:rsidRPr="00AE2834" w:rsidRDefault="00AE2834" w:rsidP="00AE2834">
      <w:pPr>
        <w:jc w:val="center"/>
        <w:rPr>
          <w:rFonts w:ascii="Fira Sans" w:eastAsia="Fira Sans" w:hAnsi="Fira Sans" w:cs="Fira Sans"/>
          <w:color w:val="943B91"/>
          <w:sz w:val="20"/>
          <w:szCs w:val="20"/>
        </w:rPr>
      </w:pPr>
      <w:r>
        <w:rPr>
          <w:rFonts w:ascii="Fira Sans" w:hAnsi="Fira Sans"/>
          <w:color w:val="943B91"/>
        </w:rPr>
        <w:t xml:space="preserve">→ </w:t>
      </w:r>
      <w:hyperlink r:id="rId9">
        <w:r>
          <w:rPr>
            <w:rFonts w:ascii="Fira Sans" w:hAnsi="Fira Sans"/>
            <w:color w:val="943B91"/>
            <w:sz w:val="20"/>
            <w:u w:val="single"/>
          </w:rPr>
          <w:t>www.biocodexmicrobiotainstitute.com/fr</w:t>
        </w:r>
      </w:hyperlink>
      <w:r>
        <w:rPr>
          <w:rFonts w:ascii="Fira Sans" w:hAnsi="Fira Sans"/>
          <w:color w:val="943B91"/>
          <w:sz w:val="20"/>
        </w:rPr>
        <w:t xml:space="preserve"> </w:t>
      </w:r>
    </w:p>
    <w:p w14:paraId="6209BDE8" w14:textId="77777777" w:rsidR="0030077A" w:rsidRDefault="0030077A">
      <w:pPr>
        <w:rPr>
          <w:rFonts w:ascii="Fira Sans" w:eastAsia="Fira Sans" w:hAnsi="Fira Sans" w:cs="Fira Sans"/>
        </w:rPr>
      </w:pPr>
    </w:p>
    <w:p w14:paraId="2AC76624" w14:textId="77777777" w:rsidR="0030077A" w:rsidRDefault="00AE2834" w:rsidP="00AE2834">
      <w:pPr>
        <w:jc w:val="center"/>
        <w:rPr>
          <w:rFonts w:ascii="Fira Sans" w:eastAsia="Fira Sans" w:hAnsi="Fira Sans" w:cs="Fira Sans"/>
        </w:rPr>
      </w:pPr>
      <w:r>
        <w:rPr>
          <w:rFonts w:ascii="Fira Sans" w:hAnsi="Fira Sans"/>
          <w:noProof/>
          <w:color w:val="200F40"/>
        </w:rPr>
        <w:drawing>
          <wp:inline distT="114300" distB="114300" distL="114300" distR="114300" wp14:anchorId="210367D6" wp14:editId="42782C62">
            <wp:extent cx="1005840" cy="975360"/>
            <wp:effectExtent l="0" t="0" r="3810" b="0"/>
            <wp:docPr id="5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6217" cy="9757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A64C65" w14:textId="77777777" w:rsidR="0030077A" w:rsidRDefault="0030077A">
      <w:pPr>
        <w:rPr>
          <w:rFonts w:ascii="Fira Sans" w:eastAsia="Fira Sans" w:hAnsi="Fira Sans" w:cs="Fira Sans"/>
          <w:color w:val="200F40"/>
          <w:sz w:val="20"/>
          <w:szCs w:val="20"/>
        </w:rPr>
      </w:pPr>
    </w:p>
    <w:p w14:paraId="0CCD85F4" w14:textId="77777777" w:rsidR="0030077A" w:rsidRDefault="0030077A">
      <w:pPr>
        <w:jc w:val="right"/>
        <w:rPr>
          <w:rFonts w:ascii="Fira Sans" w:eastAsia="Fira Sans" w:hAnsi="Fira Sans" w:cs="Fira Sans"/>
          <w:b/>
          <w:color w:val="200F40"/>
          <w:sz w:val="20"/>
          <w:szCs w:val="20"/>
        </w:rPr>
      </w:pPr>
    </w:p>
    <w:p w14:paraId="43988B27" w14:textId="77777777" w:rsidR="0030077A" w:rsidRDefault="00AE2834">
      <w:pPr>
        <w:jc w:val="right"/>
        <w:rPr>
          <w:rFonts w:ascii="Fira Sans" w:eastAsia="Fira Sans" w:hAnsi="Fira Sans" w:cs="Fira Sans"/>
          <w:color w:val="200F40"/>
          <w:sz w:val="20"/>
          <w:szCs w:val="20"/>
        </w:rPr>
      </w:pPr>
      <w:r>
        <w:rPr>
          <w:rFonts w:ascii="Fira Sans" w:hAnsi="Fira Sans"/>
          <w:b/>
          <w:color w:val="200F40"/>
          <w:sz w:val="20"/>
        </w:rPr>
        <w:t>Contacto para a Comunicação Social do Biocodex Microbiota Institute</w:t>
      </w:r>
    </w:p>
    <w:p w14:paraId="4E1F22C5" w14:textId="77777777" w:rsidR="0030077A" w:rsidRDefault="00AE2834">
      <w:pPr>
        <w:jc w:val="right"/>
        <w:rPr>
          <w:rFonts w:ascii="Fira Sans" w:eastAsia="Fira Sans" w:hAnsi="Fira Sans" w:cs="Fira Sans"/>
          <w:color w:val="200F40"/>
          <w:sz w:val="20"/>
          <w:szCs w:val="20"/>
        </w:rPr>
      </w:pPr>
      <w:r>
        <w:rPr>
          <w:rFonts w:ascii="Fira Sans" w:hAnsi="Fira Sans"/>
          <w:color w:val="200F40"/>
          <w:sz w:val="20"/>
        </w:rPr>
        <w:t xml:space="preserve">Olivier Valcke, Relações públicas e responsável editorial </w:t>
      </w:r>
    </w:p>
    <w:p w14:paraId="1B85C3F9" w14:textId="77777777" w:rsidR="0030077A" w:rsidRDefault="00AE2834">
      <w:pPr>
        <w:jc w:val="right"/>
        <w:rPr>
          <w:rFonts w:ascii="Fira Sans" w:eastAsia="Fira Sans" w:hAnsi="Fira Sans" w:cs="Fira Sans"/>
          <w:color w:val="200F40"/>
          <w:sz w:val="20"/>
          <w:szCs w:val="20"/>
        </w:rPr>
      </w:pPr>
      <w:r>
        <w:rPr>
          <w:rFonts w:ascii="Fira Sans" w:hAnsi="Fira Sans"/>
          <w:color w:val="200F40"/>
          <w:sz w:val="20"/>
        </w:rPr>
        <w:t>+33 6 43 61 32 58</w:t>
      </w:r>
    </w:p>
    <w:p w14:paraId="75BBEA37" w14:textId="77777777" w:rsidR="0030077A" w:rsidRDefault="00AE2834">
      <w:pPr>
        <w:jc w:val="right"/>
        <w:rPr>
          <w:rFonts w:ascii="Fira Sans" w:eastAsia="Fira Sans" w:hAnsi="Fira Sans" w:cs="Fira Sans"/>
          <w:color w:val="943B91"/>
          <w:sz w:val="20"/>
          <w:szCs w:val="20"/>
          <w:u w:val="single"/>
        </w:rPr>
      </w:pPr>
      <w:r>
        <w:rPr>
          <w:rFonts w:ascii="Fira Sans" w:hAnsi="Fira Sans"/>
          <w:color w:val="943B91"/>
          <w:sz w:val="20"/>
        </w:rPr>
        <w:t xml:space="preserve">→ </w:t>
      </w:r>
      <w:hyperlink r:id="rId11">
        <w:r>
          <w:rPr>
            <w:rFonts w:ascii="Fira Sans" w:hAnsi="Fira Sans"/>
            <w:color w:val="943B91"/>
            <w:sz w:val="20"/>
            <w:u w:val="single"/>
          </w:rPr>
          <w:t>o.valcke@biocodex.com</w:t>
        </w:r>
      </w:hyperlink>
    </w:p>
    <w:p w14:paraId="45153A1D" w14:textId="77777777" w:rsidR="0030077A" w:rsidRDefault="00AE2834">
      <w:pPr>
        <w:jc w:val="right"/>
        <w:rPr>
          <w:rFonts w:ascii="Fira Sans" w:eastAsia="Fira Sans" w:hAnsi="Fira Sans" w:cs="Fira Sans"/>
          <w:color w:val="200F40"/>
          <w:sz w:val="20"/>
          <w:szCs w:val="20"/>
          <w:u w:val="single"/>
        </w:rPr>
      </w:pPr>
      <w:r>
        <w:rPr>
          <w:rFonts w:ascii="Fira Sans" w:hAnsi="Fira Sans"/>
          <w:color w:val="200F40"/>
          <w:sz w:val="20"/>
          <w:u w:val="single"/>
        </w:rPr>
        <w:br/>
      </w:r>
    </w:p>
    <w:p w14:paraId="5A63475F" w14:textId="77777777" w:rsidR="0030077A" w:rsidRDefault="00AE2834">
      <w:pPr>
        <w:jc w:val="right"/>
        <w:rPr>
          <w:rFonts w:ascii="Fira Sans" w:eastAsia="Fira Sans" w:hAnsi="Fira Sans" w:cs="Fira Sans"/>
          <w:color w:val="200F40"/>
          <w:sz w:val="20"/>
          <w:szCs w:val="20"/>
        </w:rPr>
      </w:pPr>
      <w:r>
        <w:rPr>
          <w:rFonts w:ascii="Fira Sans" w:hAnsi="Fira Sans"/>
          <w:b/>
          <w:color w:val="200F40"/>
          <w:sz w:val="20"/>
        </w:rPr>
        <w:t>Contacto para a Comunicação Social da Ipsos</w:t>
      </w:r>
    </w:p>
    <w:p w14:paraId="2DB5E360" w14:textId="77777777" w:rsidR="0030077A" w:rsidRDefault="00AE2834">
      <w:pPr>
        <w:jc w:val="right"/>
        <w:rPr>
          <w:rFonts w:ascii="Fira Sans" w:eastAsia="Fira Sans" w:hAnsi="Fira Sans" w:cs="Fira Sans"/>
          <w:color w:val="200F40"/>
          <w:sz w:val="20"/>
          <w:szCs w:val="20"/>
        </w:rPr>
      </w:pPr>
      <w:r>
        <w:rPr>
          <w:rFonts w:ascii="Fira Sans" w:hAnsi="Fira Sans"/>
          <w:color w:val="200F40"/>
          <w:sz w:val="20"/>
        </w:rPr>
        <w:t xml:space="preserve">Étienne Mercier, Diretor da Divisão de Opinião e Saúde - Ipsos </w:t>
      </w:r>
    </w:p>
    <w:p w14:paraId="35E0A7E0" w14:textId="77777777" w:rsidR="0030077A" w:rsidRDefault="00AE2834">
      <w:pPr>
        <w:jc w:val="right"/>
        <w:rPr>
          <w:rFonts w:ascii="Fira Sans" w:eastAsia="Fira Sans" w:hAnsi="Fira Sans" w:cs="Fira Sans"/>
          <w:color w:val="200F40"/>
          <w:sz w:val="20"/>
          <w:szCs w:val="20"/>
        </w:rPr>
      </w:pPr>
      <w:r>
        <w:rPr>
          <w:rFonts w:ascii="Fira Sans" w:hAnsi="Fira Sans"/>
          <w:color w:val="200F40"/>
          <w:sz w:val="20"/>
        </w:rPr>
        <w:t>+33 6 23 05 05 17</w:t>
      </w:r>
    </w:p>
    <w:p w14:paraId="06951997" w14:textId="77777777" w:rsidR="0030077A" w:rsidRDefault="00AE2834">
      <w:pPr>
        <w:jc w:val="right"/>
        <w:rPr>
          <w:rFonts w:ascii="Fira Sans" w:eastAsia="Fira Sans" w:hAnsi="Fira Sans" w:cs="Fira Sans"/>
          <w:color w:val="200F40"/>
          <w:sz w:val="20"/>
          <w:szCs w:val="20"/>
        </w:rPr>
      </w:pPr>
      <w:r>
        <w:rPr>
          <w:rFonts w:ascii="Fira Sans" w:hAnsi="Fira Sans"/>
          <w:color w:val="943B91"/>
          <w:sz w:val="20"/>
        </w:rPr>
        <w:t xml:space="preserve">→ </w:t>
      </w:r>
      <w:hyperlink r:id="rId12">
        <w:r>
          <w:rPr>
            <w:rFonts w:ascii="Fira Sans" w:hAnsi="Fira Sans"/>
            <w:color w:val="943B91"/>
            <w:sz w:val="20"/>
            <w:u w:val="single"/>
          </w:rPr>
          <w:t>etienne.</w:t>
        </w:r>
      </w:hyperlink>
      <w:r>
        <w:rPr>
          <w:rFonts w:ascii="Fira Sans" w:hAnsi="Fira Sans"/>
          <w:color w:val="943B91"/>
          <w:sz w:val="20"/>
          <w:u w:val="single"/>
        </w:rPr>
        <w:t>mercier@ipsos.com</w:t>
      </w:r>
    </w:p>
    <w:sectPr w:rsidR="003007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8D851" w14:textId="77777777" w:rsidR="00AF3A1B" w:rsidRDefault="00AF3A1B">
      <w:pPr>
        <w:spacing w:line="240" w:lineRule="auto"/>
      </w:pPr>
      <w:r>
        <w:separator/>
      </w:r>
    </w:p>
  </w:endnote>
  <w:endnote w:type="continuationSeparator" w:id="0">
    <w:p w14:paraId="444A6A8B" w14:textId="77777777" w:rsidR="00AF3A1B" w:rsidRDefault="00AF3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nci Sans Medium">
    <w:panose1 w:val="00000000000000000000"/>
    <w:charset w:val="00"/>
    <w:family w:val="modern"/>
    <w:notTrueType/>
    <w:pitch w:val="variable"/>
    <w:sig w:usb0="A00000AF" w:usb1="4000205B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ra Sans Medium">
    <w:altName w:val="Calibri"/>
    <w:charset w:val="00"/>
    <w:family w:val="swiss"/>
    <w:pitch w:val="variable"/>
    <w:sig w:usb0="600002FF" w:usb1="00000001" w:usb2="00000000" w:usb3="00000000" w:csb0="0000019F" w:csb1="00000000"/>
  </w:font>
  <w:font w:name="Fira Sans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Fira Sans Extra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D76B" w14:textId="77777777" w:rsidR="00232703" w:rsidRDefault="002327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5C7AB" w14:textId="77777777" w:rsidR="0030077A" w:rsidRDefault="0030077A">
    <w:pPr>
      <w:tabs>
        <w:tab w:val="center" w:pos="4536"/>
        <w:tab w:val="right" w:pos="9072"/>
      </w:tabs>
      <w:spacing w:line="240" w:lineRule="auto"/>
      <w:rPr>
        <w:b/>
        <w:sz w:val="28"/>
        <w:szCs w:val="28"/>
      </w:rPr>
    </w:pPr>
  </w:p>
  <w:p w14:paraId="0699B767" w14:textId="77777777" w:rsidR="0030077A" w:rsidRDefault="00AE2834">
    <w:pPr>
      <w:tabs>
        <w:tab w:val="center" w:pos="4536"/>
        <w:tab w:val="right" w:pos="9072"/>
      </w:tabs>
      <w:spacing w:line="240" w:lineRule="auto"/>
    </w:pPr>
    <w:r>
      <w:rPr>
        <w:b/>
        <w:sz w:val="28"/>
      </w:rPr>
      <w:br/>
    </w:r>
    <w:r>
      <w:rPr>
        <w:noProof/>
      </w:rPr>
      <w:drawing>
        <wp:inline distT="0" distB="0" distL="0" distR="0" wp14:anchorId="0E0637DB" wp14:editId="1F9997DD">
          <wp:extent cx="1258976" cy="375347"/>
          <wp:effectExtent l="0" t="0" r="0" b="0"/>
          <wp:docPr id="51" name="image1.png" descr="Une image contenant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text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8976" cy="375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263C1D0" wp14:editId="280F422C">
          <wp:simplePos x="0" y="0"/>
          <wp:positionH relativeFrom="column">
            <wp:posOffset>1314450</wp:posOffset>
          </wp:positionH>
          <wp:positionV relativeFrom="paragraph">
            <wp:posOffset>243222</wp:posOffset>
          </wp:positionV>
          <wp:extent cx="352108" cy="316897"/>
          <wp:effectExtent l="0" t="0" r="0" b="0"/>
          <wp:wrapNone/>
          <wp:docPr id="50" name="image3.png" descr="Logo_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_bmp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108" cy="316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1D9A72" w14:textId="77777777" w:rsidR="0030077A" w:rsidRDefault="00AE2834">
    <w:pPr>
      <w:jc w:val="right"/>
      <w:rPr>
        <w:b/>
        <w:sz w:val="28"/>
        <w:szCs w:val="28"/>
      </w:rPr>
    </w:pPr>
    <w:r>
      <w:rPr>
        <w:rFonts w:ascii="Fira Sans SemiBold" w:eastAsia="Fira Sans SemiBold" w:hAnsi="Fira Sans SemiBold" w:cs="Fira Sans SemiBold"/>
        <w:color w:val="943B91"/>
      </w:rPr>
      <w:fldChar w:fldCharType="begin"/>
    </w:r>
    <w:r>
      <w:rPr>
        <w:rFonts w:ascii="Fira Sans SemiBold" w:eastAsia="Fira Sans SemiBold" w:hAnsi="Fira Sans SemiBold" w:cs="Fira Sans SemiBold"/>
        <w:color w:val="943B91"/>
      </w:rPr>
      <w:instrText>PAGE</w:instrText>
    </w:r>
    <w:r>
      <w:rPr>
        <w:rFonts w:ascii="Fira Sans SemiBold" w:eastAsia="Fira Sans SemiBold" w:hAnsi="Fira Sans SemiBold" w:cs="Fira Sans SemiBold"/>
        <w:color w:val="943B91"/>
      </w:rPr>
      <w:fldChar w:fldCharType="separate"/>
    </w:r>
    <w:r>
      <w:rPr>
        <w:rFonts w:ascii="Fira Sans SemiBold" w:eastAsia="Fira Sans SemiBold" w:hAnsi="Fira Sans SemiBold" w:cs="Fira Sans SemiBold"/>
        <w:color w:val="943B91"/>
      </w:rPr>
      <w:t>2</w:t>
    </w:r>
    <w:r>
      <w:rPr>
        <w:rFonts w:ascii="Fira Sans SemiBold" w:eastAsia="Fira Sans SemiBold" w:hAnsi="Fira Sans SemiBold" w:cs="Fira Sans SemiBold"/>
        <w:color w:val="943B9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4851" w14:textId="77777777" w:rsidR="0030077A" w:rsidRDefault="00AE2834">
    <w:pPr>
      <w:tabs>
        <w:tab w:val="center" w:pos="4536"/>
        <w:tab w:val="right" w:pos="9072"/>
      </w:tabs>
      <w:spacing w:line="240" w:lineRule="auto"/>
    </w:pPr>
    <w:r>
      <w:rPr>
        <w:b/>
        <w:sz w:val="28"/>
      </w:rPr>
      <w:br/>
    </w:r>
  </w:p>
  <w:p w14:paraId="273FFC81" w14:textId="77777777" w:rsidR="0030077A" w:rsidRDefault="00AE2834">
    <w:pPr>
      <w:jc w:val="right"/>
    </w:pPr>
    <w:r>
      <w:rPr>
        <w:rFonts w:ascii="Fira Sans SemiBold" w:eastAsia="Fira Sans SemiBold" w:hAnsi="Fira Sans SemiBold" w:cs="Fira Sans SemiBold"/>
        <w:color w:val="943B91"/>
      </w:rPr>
      <w:fldChar w:fldCharType="begin"/>
    </w:r>
    <w:r>
      <w:rPr>
        <w:rFonts w:ascii="Fira Sans SemiBold" w:eastAsia="Fira Sans SemiBold" w:hAnsi="Fira Sans SemiBold" w:cs="Fira Sans SemiBold"/>
        <w:color w:val="943B91"/>
      </w:rPr>
      <w:instrText>PAGE</w:instrText>
    </w:r>
    <w:r>
      <w:rPr>
        <w:rFonts w:ascii="Fira Sans SemiBold" w:eastAsia="Fira Sans SemiBold" w:hAnsi="Fira Sans SemiBold" w:cs="Fira Sans SemiBold"/>
        <w:color w:val="943B91"/>
      </w:rPr>
      <w:fldChar w:fldCharType="separate"/>
    </w:r>
    <w:r>
      <w:rPr>
        <w:rFonts w:ascii="Fira Sans SemiBold" w:eastAsia="Fira Sans SemiBold" w:hAnsi="Fira Sans SemiBold" w:cs="Fira Sans SemiBold"/>
        <w:color w:val="943B91"/>
      </w:rPr>
      <w:t>1</w:t>
    </w:r>
    <w:r>
      <w:rPr>
        <w:rFonts w:ascii="Fira Sans SemiBold" w:eastAsia="Fira Sans SemiBold" w:hAnsi="Fira Sans SemiBold" w:cs="Fira Sans SemiBold"/>
        <w:color w:val="943B9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24686" w14:textId="77777777" w:rsidR="00AF3A1B" w:rsidRDefault="00AF3A1B">
      <w:pPr>
        <w:spacing w:line="240" w:lineRule="auto"/>
      </w:pPr>
      <w:r>
        <w:separator/>
      </w:r>
    </w:p>
  </w:footnote>
  <w:footnote w:type="continuationSeparator" w:id="0">
    <w:p w14:paraId="2AAE93AD" w14:textId="77777777" w:rsidR="00AF3A1B" w:rsidRDefault="00AF3A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445B" w14:textId="77777777" w:rsidR="00232703" w:rsidRDefault="002327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A61A" w14:textId="77777777" w:rsidR="0030077A" w:rsidRDefault="00AE2834">
    <w:pPr>
      <w:rPr>
        <w:rFonts w:ascii="Fira Sans Medium" w:eastAsia="Fira Sans Medium" w:hAnsi="Fira Sans Medium" w:cs="Fira Sans Medium"/>
        <w:color w:val="200F40"/>
      </w:rPr>
    </w:pPr>
    <w:r>
      <w:rPr>
        <w:rFonts w:ascii="Fira Sans Medium" w:hAnsi="Fira Sans Medium"/>
        <w:noProof/>
        <w:color w:val="200F40"/>
      </w:rPr>
      <w:drawing>
        <wp:inline distT="114300" distB="114300" distL="114300" distR="114300" wp14:anchorId="1C6CA7A0" wp14:editId="0F676E7C">
          <wp:extent cx="1429304" cy="793432"/>
          <wp:effectExtent l="0" t="0" r="0" b="0"/>
          <wp:docPr id="5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9304" cy="793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Fira Sans Medium" w:hAnsi="Fira Sans Medium"/>
        <w:color w:val="200F40"/>
      </w:rPr>
      <w:t xml:space="preserve">                                                                                </w:t>
    </w:r>
  </w:p>
  <w:p w14:paraId="604913CD" w14:textId="77777777" w:rsidR="0030077A" w:rsidRDefault="0030077A">
    <w:pPr>
      <w:jc w:val="right"/>
      <w:rPr>
        <w:rFonts w:ascii="Fira Sans Medium" w:eastAsia="Fira Sans Medium" w:hAnsi="Fira Sans Medium" w:cs="Fira Sans Medium"/>
        <w:color w:val="200F40"/>
      </w:rPr>
    </w:pPr>
  </w:p>
  <w:p w14:paraId="6E898FF0" w14:textId="77777777" w:rsidR="0030077A" w:rsidRDefault="0030077A">
    <w:pPr>
      <w:jc w:val="right"/>
      <w:rPr>
        <w:rFonts w:ascii="Fira Sans Medium" w:eastAsia="Fira Sans Medium" w:hAnsi="Fira Sans Medium" w:cs="Fira Sans Medium"/>
        <w:color w:val="200F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8FB5" w14:textId="77777777" w:rsidR="0030077A" w:rsidRDefault="00AE2834">
    <w:pPr>
      <w:rPr>
        <w:rFonts w:ascii="Fira Sans" w:eastAsia="Fira Sans" w:hAnsi="Fira Sans" w:cs="Fira Sans"/>
        <w:color w:val="200F40"/>
      </w:rPr>
    </w:pPr>
    <w:r>
      <w:rPr>
        <w:rFonts w:ascii="Fira Sans Medium" w:hAnsi="Fira Sans Medium"/>
        <w:noProof/>
        <w:color w:val="200F40"/>
      </w:rPr>
      <w:drawing>
        <wp:inline distT="114300" distB="114300" distL="114300" distR="114300" wp14:anchorId="6C6A6441" wp14:editId="4894FC63">
          <wp:extent cx="2181543" cy="1200633"/>
          <wp:effectExtent l="0" t="0" r="0" b="0"/>
          <wp:docPr id="4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543" cy="1200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Fira Sans Medium" w:hAnsi="Fira Sans Medium"/>
        <w:color w:val="200F40"/>
      </w:rPr>
      <w:t xml:space="preserve">                                               </w:t>
    </w:r>
    <w:r>
      <w:rPr>
        <w:rFonts w:ascii="Fira Sans" w:hAnsi="Fira Sans"/>
        <w:color w:val="200F40"/>
      </w:rPr>
      <w:t>por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16A335AA" wp14:editId="0E4E6A1E">
          <wp:simplePos x="0" y="0"/>
          <wp:positionH relativeFrom="column">
            <wp:posOffset>4152900</wp:posOffset>
          </wp:positionH>
          <wp:positionV relativeFrom="paragraph">
            <wp:posOffset>971550</wp:posOffset>
          </wp:positionV>
          <wp:extent cx="1258976" cy="375347"/>
          <wp:effectExtent l="0" t="0" r="0" b="0"/>
          <wp:wrapNone/>
          <wp:docPr id="48" name="image1.png" descr="Une image contenant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texte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8976" cy="375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149AC94" wp14:editId="326EA5FF">
          <wp:simplePos x="0" y="0"/>
          <wp:positionH relativeFrom="column">
            <wp:posOffset>5410200</wp:posOffset>
          </wp:positionH>
          <wp:positionV relativeFrom="paragraph">
            <wp:posOffset>1000125</wp:posOffset>
          </wp:positionV>
          <wp:extent cx="352108" cy="316897"/>
          <wp:effectExtent l="0" t="0" r="0" b="0"/>
          <wp:wrapNone/>
          <wp:docPr id="49" name="image3.png" descr="Logo_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_bmp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108" cy="316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24CFBF" w14:textId="51D4750E" w:rsidR="0030077A" w:rsidRPr="00232703" w:rsidRDefault="00232703">
    <w:pPr>
      <w:rPr>
        <w:rFonts w:ascii="Fira Sans" w:eastAsia="Fira Sans" w:hAnsi="Fira Sans" w:cs="Fira Sans"/>
        <w:color w:val="200F40"/>
        <w:sz w:val="16"/>
        <w:szCs w:val="16"/>
      </w:rPr>
    </w:pPr>
    <w:r>
      <w:rPr>
        <w:rFonts w:ascii="Fira Sans" w:hAnsi="Fira Sans"/>
        <w:color w:val="200F40"/>
        <w:sz w:val="16"/>
      </w:rPr>
      <w:t>BMI-23.25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3908"/>
    <w:multiLevelType w:val="multilevel"/>
    <w:tmpl w:val="71B239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43B9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9C0AAB"/>
    <w:multiLevelType w:val="multilevel"/>
    <w:tmpl w:val="FA005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43B9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563C48"/>
    <w:multiLevelType w:val="multilevel"/>
    <w:tmpl w:val="B84CE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43B9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FF0625"/>
    <w:multiLevelType w:val="hybridMultilevel"/>
    <w:tmpl w:val="D74E7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D05A5"/>
    <w:multiLevelType w:val="multilevel"/>
    <w:tmpl w:val="6354E276"/>
    <w:lvl w:ilvl="0">
      <w:start w:val="1"/>
      <w:numFmt w:val="bullet"/>
      <w:lvlText w:val="●"/>
      <w:lvlJc w:val="left"/>
      <w:pPr>
        <w:ind w:left="720" w:hanging="360"/>
      </w:pPr>
      <w:rPr>
        <w:rFonts w:ascii="Fira Sans" w:eastAsia="Fira Sans" w:hAnsi="Fira Sans" w:cs="Fira Sans"/>
        <w:b/>
        <w:strike w:val="0"/>
        <w:color w:val="943B9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321937"/>
    <w:multiLevelType w:val="hybridMultilevel"/>
    <w:tmpl w:val="2730B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090469">
    <w:abstractNumId w:val="2"/>
  </w:num>
  <w:num w:numId="2" w16cid:durableId="1264537141">
    <w:abstractNumId w:val="4"/>
  </w:num>
  <w:num w:numId="3" w16cid:durableId="764765466">
    <w:abstractNumId w:val="0"/>
  </w:num>
  <w:num w:numId="4" w16cid:durableId="1735852735">
    <w:abstractNumId w:val="1"/>
  </w:num>
  <w:num w:numId="5" w16cid:durableId="1771200942">
    <w:abstractNumId w:val="5"/>
  </w:num>
  <w:num w:numId="6" w16cid:durableId="780034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77A"/>
    <w:rsid w:val="000F01F1"/>
    <w:rsid w:val="001A0C9D"/>
    <w:rsid w:val="00232703"/>
    <w:rsid w:val="00270C14"/>
    <w:rsid w:val="0030077A"/>
    <w:rsid w:val="00376ABA"/>
    <w:rsid w:val="005C20E6"/>
    <w:rsid w:val="007E3A94"/>
    <w:rsid w:val="009608C7"/>
    <w:rsid w:val="00A400C4"/>
    <w:rsid w:val="00A81B61"/>
    <w:rsid w:val="00AE2834"/>
    <w:rsid w:val="00AF3A1B"/>
    <w:rsid w:val="00D1788E"/>
    <w:rsid w:val="00F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EC20"/>
  <w15:docId w15:val="{BDD7B82B-CDBA-4CB6-8C78-1AF35ED3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4B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71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134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34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34B6"/>
    <w:rPr>
      <w:rFonts w:ascii="Arial" w:eastAsia="Arial" w:hAnsi="Arial" w:cs="Arial"/>
      <w:sz w:val="20"/>
      <w:szCs w:val="20"/>
      <w:lang w:val="pt-PT" w:eastAsia="fr-FR"/>
    </w:rPr>
  </w:style>
  <w:style w:type="character" w:styleId="Hipervnculo">
    <w:name w:val="Hyperlink"/>
    <w:basedOn w:val="Fuentedeprrafopredeter"/>
    <w:uiPriority w:val="99"/>
    <w:unhideWhenUsed/>
    <w:rsid w:val="00F158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584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526BE"/>
    <w:pPr>
      <w:tabs>
        <w:tab w:val="center" w:pos="4536"/>
        <w:tab w:val="right" w:pos="9072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6BE"/>
    <w:rPr>
      <w:rFonts w:ascii="Arial" w:eastAsia="Arial" w:hAnsi="Arial" w:cs="Arial"/>
      <w:lang w:val="pt-PT" w:eastAsia="fr-FR"/>
    </w:rPr>
  </w:style>
  <w:style w:type="paragraph" w:styleId="Piedepgina">
    <w:name w:val="footer"/>
    <w:basedOn w:val="Normal"/>
    <w:link w:val="PiedepginaCar"/>
    <w:uiPriority w:val="99"/>
    <w:unhideWhenUsed/>
    <w:rsid w:val="008526BE"/>
    <w:pPr>
      <w:tabs>
        <w:tab w:val="center" w:pos="4536"/>
        <w:tab w:val="right" w:pos="9072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6BE"/>
    <w:rPr>
      <w:rFonts w:ascii="Arial" w:eastAsia="Arial" w:hAnsi="Arial" w:cs="Arial"/>
      <w:lang w:val="pt-PT" w:eastAsia="fr-FR"/>
    </w:rPr>
  </w:style>
  <w:style w:type="paragraph" w:customStyle="1" w:styleId="Contact">
    <w:name w:val="Contact"/>
    <w:basedOn w:val="Normal"/>
    <w:rsid w:val="008526BE"/>
    <w:pPr>
      <w:spacing w:line="216" w:lineRule="exact"/>
    </w:pPr>
    <w:rPr>
      <w:rFonts w:ascii="Vinci Sans Medium" w:eastAsia="Times New Roman" w:hAnsi="Vinci Sans Medium" w:cs="Times New Roman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960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ational-microbiota-observatory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.valcke@biocodex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ocodexmicrobiotainstitute.com/fr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mr3QjwulfpeQjQYZkChHxrVPNg==">CgMxLjAyCWguMzBqMHpsbDgAciExend1X1d1Q0ZCRnpldGhWaU13cUZJWVdBdkxuQnZoWk4=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1667</Words>
  <Characters>9537</Characters>
  <Application>Microsoft Office Word</Application>
  <DocSecurity>0</DocSecurity>
  <Lines>187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Traduzido para o português por_x000d_
Argos TSP, S.L._x000d_
www.argos-tsp.com_x000d_
Junho de 2023_x000d_
</dc:description>
  <cp:lastModifiedBy>philippe ciazynski</cp:lastModifiedBy>
  <cp:revision>4</cp:revision>
  <cp:lastPrinted>2023-06-06T07:21:00Z</cp:lastPrinted>
  <dcterms:created xsi:type="dcterms:W3CDTF">2023-06-16T10:03:00Z</dcterms:created>
  <dcterms:modified xsi:type="dcterms:W3CDTF">2023-06-16T10:16:00Z</dcterms:modified>
</cp:coreProperties>
</file>